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8E3C" w14:textId="0B96977F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right="-9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Na osnovu Zakona o inovacionoj djelatnosti (Službeni</w:t>
      </w:r>
      <w:r w:rsidRPr="001C64B5">
        <w:rPr>
          <w:rFonts w:ascii="Poppins" w:hAnsi="Poppins" w:cs="Poppins"/>
          <w:lang w:val="sr-Latn-ME"/>
        </w:rPr>
        <w:t xml:space="preserve"> </w:t>
      </w:r>
      <w:r w:rsidRPr="001C64B5">
        <w:rPr>
          <w:rFonts w:ascii="Poppins" w:hAnsi="Poppins" w:cs="Poppins"/>
          <w:color w:val="000000"/>
          <w:lang w:val="sr-Latn-ME"/>
        </w:rPr>
        <w:t xml:space="preserve">list Crne Gore br. 82/20), Strategije pametne specijalizacije Crne Gore 2019-2024,  Operativnog programa za </w:t>
      </w:r>
      <w:r w:rsidR="001C64B5" w:rsidRPr="001C64B5">
        <w:rPr>
          <w:rFonts w:ascii="Poppins" w:hAnsi="Poppins" w:cs="Poppins"/>
          <w:color w:val="000000"/>
          <w:lang w:val="sr-Latn-ME"/>
        </w:rPr>
        <w:t>implementaciju</w:t>
      </w:r>
      <w:r w:rsidRPr="001C64B5">
        <w:rPr>
          <w:rFonts w:ascii="Poppins" w:hAnsi="Poppins" w:cs="Poppins"/>
          <w:color w:val="000000"/>
          <w:lang w:val="sr-Latn-ME"/>
        </w:rPr>
        <w:t xml:space="preserve"> Strategije pametne specijalizacije Crne Gore (2021-2024), Strateškog plana razvoja Naučno-tehnološkog parka Crne Gore, Pravilnika o postupku, načinu i uslovima </w:t>
      </w:r>
      <w:r w:rsidRPr="001C64B5">
        <w:rPr>
          <w:rFonts w:ascii="Poppins" w:hAnsi="Poppins" w:cs="Poppins"/>
          <w:lang w:val="sr-Latn-ME"/>
        </w:rPr>
        <w:t>davanja</w:t>
      </w:r>
      <w:r w:rsidRPr="001C64B5">
        <w:rPr>
          <w:rFonts w:ascii="Poppins" w:hAnsi="Poppins" w:cs="Poppins"/>
          <w:color w:val="000000"/>
          <w:lang w:val="sr-Latn-ME"/>
        </w:rPr>
        <w:t xml:space="preserve"> u zakup poslovnih prostora po osnovu Javn</w:t>
      </w:r>
      <w:r w:rsidRPr="001C64B5">
        <w:rPr>
          <w:rFonts w:ascii="Poppins" w:hAnsi="Poppins" w:cs="Poppins"/>
          <w:lang w:val="sr-Latn-ME"/>
        </w:rPr>
        <w:t>ih</w:t>
      </w:r>
      <w:r w:rsidRPr="001C64B5">
        <w:rPr>
          <w:rFonts w:ascii="Poppins" w:hAnsi="Poppins" w:cs="Poppins"/>
          <w:color w:val="000000"/>
          <w:lang w:val="sr-Latn-ME"/>
        </w:rPr>
        <w:t xml:space="preserve"> poziva za </w:t>
      </w:r>
      <w:r w:rsidRPr="001C64B5">
        <w:rPr>
          <w:rFonts w:ascii="Poppins" w:hAnsi="Poppins" w:cs="Poppins"/>
          <w:lang w:val="sr-Latn-ME"/>
        </w:rPr>
        <w:t>prijem stanara</w:t>
      </w:r>
      <w:r w:rsidRPr="001C64B5">
        <w:rPr>
          <w:rFonts w:ascii="Poppins" w:hAnsi="Poppins" w:cs="Poppins"/>
          <w:color w:val="000000"/>
          <w:lang w:val="sr-Latn-ME"/>
        </w:rPr>
        <w:t xml:space="preserve"> br. 01/24-394  od 01.07.2024. godine, Pravilnika o bližim kriterijumima za obrazovanje i način rada Komisije za evaluaciju prijava po osnovu Javnih poziva za prijem stanara br. 01/24-395  od 01.07.2024. godine, Pravilnika o obliku i sadržaju elektronskog registra evaluatora br. 01/24-396 od 01.07.2024. godine, Odluke Odbora direktora br. 01/24-397 od 01.07.2024. godine i Zaključka Vlade Crne Gore br. 08-011/24-3862/2 od 04.07.2024. godine, Naučno-tehnološki park Crne Gore d.o.o. (u daljem tekstu: „NTP CG”) objavljuje:</w:t>
      </w:r>
    </w:p>
    <w:p w14:paraId="6D626A1D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right="-96"/>
        <w:jc w:val="both"/>
        <w:rPr>
          <w:rFonts w:ascii="Poppins" w:hAnsi="Poppins" w:cs="Poppins"/>
          <w:color w:val="000000"/>
          <w:lang w:val="sr-Latn-ME"/>
        </w:rPr>
      </w:pPr>
    </w:p>
    <w:p w14:paraId="738DBDF6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357" w:right="-96"/>
        <w:jc w:val="center"/>
        <w:rPr>
          <w:rFonts w:ascii="Poppins" w:hAnsi="Poppins" w:cs="Poppins"/>
          <w:b/>
          <w:color w:val="000000"/>
          <w:sz w:val="24"/>
          <w:szCs w:val="24"/>
          <w:lang w:val="sr-Latn-ME"/>
        </w:rPr>
      </w:pPr>
      <w:bookmarkStart w:id="0" w:name="_heading=h.26in1rg" w:colFirst="0" w:colLast="0"/>
      <w:bookmarkEnd w:id="0"/>
      <w:r w:rsidRPr="001C64B5">
        <w:rPr>
          <w:rFonts w:ascii="Poppins" w:hAnsi="Poppins" w:cs="Poppins"/>
          <w:b/>
          <w:color w:val="000000"/>
          <w:sz w:val="24"/>
          <w:szCs w:val="24"/>
          <w:lang w:val="sr-Latn-ME"/>
        </w:rPr>
        <w:t>JAVNI POZIV</w:t>
      </w:r>
    </w:p>
    <w:p w14:paraId="4519DE33" w14:textId="77777777" w:rsidR="00552B9C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right="-96"/>
        <w:jc w:val="center"/>
        <w:rPr>
          <w:rFonts w:ascii="Poppins" w:hAnsi="Poppins" w:cs="Poppins"/>
          <w:b/>
          <w:color w:val="000000"/>
          <w:sz w:val="24"/>
          <w:szCs w:val="24"/>
          <w:lang w:val="sr-Latn-ME"/>
        </w:rPr>
      </w:pPr>
      <w:r w:rsidRPr="001C64B5">
        <w:rPr>
          <w:rFonts w:ascii="Poppins" w:hAnsi="Poppins" w:cs="Poppins"/>
          <w:b/>
          <w:color w:val="000000"/>
          <w:sz w:val="24"/>
          <w:szCs w:val="24"/>
          <w:lang w:val="sr-Latn-ME"/>
        </w:rPr>
        <w:t>startapovima/spinofovima i timovima sa inovativnim potencijalom za prijem stanara u Naučno-tehnološk</w:t>
      </w:r>
      <w:r w:rsidRPr="001C64B5">
        <w:rPr>
          <w:rFonts w:ascii="Poppins" w:hAnsi="Poppins" w:cs="Poppins"/>
          <w:b/>
          <w:sz w:val="24"/>
          <w:szCs w:val="24"/>
          <w:lang w:val="sr-Latn-ME"/>
        </w:rPr>
        <w:t>i</w:t>
      </w:r>
      <w:r w:rsidRPr="001C64B5">
        <w:rPr>
          <w:rFonts w:ascii="Poppins" w:hAnsi="Poppins" w:cs="Poppins"/>
          <w:b/>
          <w:color w:val="000000"/>
          <w:sz w:val="24"/>
          <w:szCs w:val="24"/>
          <w:lang w:val="sr-Latn-ME"/>
        </w:rPr>
        <w:t xml:space="preserve"> park Crne Gore </w:t>
      </w:r>
    </w:p>
    <w:p w14:paraId="1E27340D" w14:textId="77777777" w:rsidR="001C64B5" w:rsidRPr="001C64B5" w:rsidRDefault="001C64B5" w:rsidP="00552B9C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right="-96"/>
        <w:jc w:val="center"/>
        <w:rPr>
          <w:rFonts w:ascii="Poppins" w:hAnsi="Poppins" w:cs="Poppins"/>
          <w:b/>
          <w:color w:val="000000"/>
          <w:sz w:val="24"/>
          <w:szCs w:val="24"/>
          <w:lang w:val="sr-Latn-ME"/>
        </w:rPr>
      </w:pPr>
    </w:p>
    <w:p w14:paraId="0C6E2532" w14:textId="77777777" w:rsidR="00552B9C" w:rsidRPr="001C64B5" w:rsidRDefault="00552B9C" w:rsidP="00552B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after="240" w:line="276" w:lineRule="auto"/>
        <w:ind w:left="426" w:right="-99" w:hanging="426"/>
        <w:jc w:val="both"/>
        <w:rPr>
          <w:rFonts w:ascii="Poppins" w:hAnsi="Poppins" w:cs="Poppins"/>
          <w:b/>
          <w:color w:val="FFFFFF"/>
          <w:lang w:val="sr-Latn-ME"/>
        </w:rPr>
      </w:pPr>
      <w:bookmarkStart w:id="1" w:name="_heading=h.30j0zll" w:colFirst="0" w:colLast="0"/>
      <w:bookmarkEnd w:id="1"/>
      <w:r w:rsidRPr="001C64B5">
        <w:rPr>
          <w:rFonts w:ascii="Poppins" w:hAnsi="Poppins" w:cs="Poppins"/>
          <w:b/>
          <w:color w:val="FFFFFF"/>
          <w:lang w:val="sr-Latn-ME"/>
        </w:rPr>
        <w:t xml:space="preserve">UVOD:  </w:t>
      </w:r>
    </w:p>
    <w:p w14:paraId="78959A65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  <w:ind w:right="-96"/>
        <w:jc w:val="both"/>
        <w:rPr>
          <w:rFonts w:ascii="Poppins" w:hAnsi="Poppins" w:cs="Poppins"/>
          <w:color w:val="000000"/>
          <w:lang w:val="sr-Latn-ME"/>
        </w:rPr>
      </w:pPr>
      <w:bookmarkStart w:id="2" w:name="_heading=h.1fob9te" w:colFirst="0" w:colLast="0"/>
      <w:bookmarkEnd w:id="2"/>
      <w:r w:rsidRPr="001C64B5">
        <w:rPr>
          <w:rFonts w:ascii="Poppins" w:hAnsi="Poppins" w:cs="Poppins"/>
          <w:lang w:val="sr-Latn-ME"/>
        </w:rPr>
        <w:t>NTP CG</w:t>
      </w:r>
      <w:r w:rsidRPr="001C64B5">
        <w:rPr>
          <w:rFonts w:ascii="Poppins" w:hAnsi="Poppins" w:cs="Poppins"/>
          <w:color w:val="000000"/>
          <w:lang w:val="sr-Latn-ME"/>
        </w:rPr>
        <w:t xml:space="preserve"> d.o.o. osnovan je u partnerstvu Vlade Crne Gore i Univerziteta Crne Gore, uz zajedničku viziju da postane ključno mjesto na kojem će se spajati inovativni i kreativni pojedinci i projekti, uz intenzivnu saradnju naučnoistraživačke i privredne zajednice, a sve u cilju stvaranja jakog inovaciono-preduzetničkog ekosistema zemlje. Više informacija na </w:t>
      </w:r>
      <w:hyperlink r:id="rId8">
        <w:r w:rsidRPr="001C64B5">
          <w:rPr>
            <w:rFonts w:ascii="Poppins" w:hAnsi="Poppins" w:cs="Poppins"/>
            <w:color w:val="0563C1"/>
            <w:u w:val="single"/>
            <w:lang w:val="sr-Latn-ME"/>
          </w:rPr>
          <w:t>www.ntpark.me</w:t>
        </w:r>
      </w:hyperlink>
      <w:r w:rsidRPr="001C64B5">
        <w:rPr>
          <w:rFonts w:ascii="Poppins" w:hAnsi="Poppins" w:cs="Poppins"/>
          <w:color w:val="0563C1"/>
          <w:u w:val="single"/>
          <w:lang w:val="sr-Latn-ME"/>
        </w:rPr>
        <w:t>.</w:t>
      </w:r>
    </w:p>
    <w:p w14:paraId="1E510D7A" w14:textId="77777777" w:rsidR="00552B9C" w:rsidRPr="001C64B5" w:rsidRDefault="00552B9C" w:rsidP="00552B9C">
      <w:pPr>
        <w:widowControl w:val="0"/>
        <w:spacing w:after="0" w:line="276" w:lineRule="auto"/>
        <w:ind w:right="-96"/>
        <w:rPr>
          <w:rFonts w:ascii="Poppins" w:hAnsi="Poppins" w:cs="Poppins"/>
          <w:lang w:val="sr-Latn-ME"/>
        </w:rPr>
      </w:pPr>
      <w:r w:rsidRPr="001C64B5">
        <w:rPr>
          <w:rFonts w:ascii="Poppins" w:hAnsi="Poppins" w:cs="Poppins"/>
          <w:lang w:val="sr-Latn-ME"/>
        </w:rPr>
        <w:t>NTP CG osnovan je u svrhu postizanja sljedećih ciljeva:</w:t>
      </w:r>
    </w:p>
    <w:p w14:paraId="267ED3AB" w14:textId="6787E6C3" w:rsidR="00552B9C" w:rsidRPr="001C64B5" w:rsidRDefault="001C64B5" w:rsidP="00552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Unaprjeđenje</w:t>
      </w:r>
      <w:r w:rsidR="00552B9C" w:rsidRPr="001C64B5">
        <w:rPr>
          <w:rFonts w:ascii="Poppins" w:hAnsi="Poppins" w:cs="Poppins"/>
          <w:color w:val="000000"/>
          <w:lang w:val="sr-Latn-ME"/>
        </w:rPr>
        <w:t xml:space="preserve"> inovaciono</w:t>
      </w:r>
      <w:r w:rsidR="00552B9C" w:rsidRPr="001C64B5">
        <w:rPr>
          <w:rFonts w:ascii="Poppins" w:hAnsi="Poppins" w:cs="Poppins"/>
          <w:b/>
          <w:color w:val="000000"/>
          <w:lang w:val="sr-Latn-ME"/>
        </w:rPr>
        <w:t>-</w:t>
      </w:r>
      <w:r w:rsidR="00552B9C" w:rsidRPr="001C64B5">
        <w:rPr>
          <w:rFonts w:ascii="Poppins" w:hAnsi="Poppins" w:cs="Poppins"/>
          <w:color w:val="000000"/>
          <w:lang w:val="sr-Latn-ME"/>
        </w:rPr>
        <w:t xml:space="preserve">preduzetničkog ekosistema u Crnoj Gori;  </w:t>
      </w:r>
    </w:p>
    <w:p w14:paraId="6A8B127F" w14:textId="77777777" w:rsidR="00552B9C" w:rsidRPr="001C64B5" w:rsidRDefault="00552B9C" w:rsidP="00552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Razvoj programa podrške za startapove/spinofove i timove sa inovativnim potencijalom, kao i pravnim licima koja obavljaju inovacionu i naučnoistraživačku djelatnost;</w:t>
      </w:r>
    </w:p>
    <w:p w14:paraId="745187FF" w14:textId="77777777" w:rsidR="00552B9C" w:rsidRPr="001C64B5" w:rsidRDefault="00552B9C" w:rsidP="00552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Podrška razvoju digitalnih rješenja u različitim sektorima ekonomije;</w:t>
      </w:r>
    </w:p>
    <w:p w14:paraId="76DB371F" w14:textId="77777777" w:rsidR="00552B9C" w:rsidRPr="001C64B5" w:rsidRDefault="00552B9C" w:rsidP="00552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Podrška u komercijalizaciji inovativnih proizvoda i/ili usluga, kao i izvoza;</w:t>
      </w:r>
    </w:p>
    <w:p w14:paraId="52DE9945" w14:textId="77777777" w:rsidR="00552B9C" w:rsidRPr="001C64B5" w:rsidRDefault="00552B9C" w:rsidP="00552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Saradnja sa akademskim, istraživačkim i razvojnim institucijama u cilju komercijalizacije istraživanja i promocije preduzetništva;</w:t>
      </w:r>
    </w:p>
    <w:p w14:paraId="40AAD365" w14:textId="77777777" w:rsidR="00552B9C" w:rsidRPr="001C64B5" w:rsidRDefault="00552B9C" w:rsidP="00552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Uspostavljanje efikasnije saradnje između javnog sektora, biznis i akademske zajednice, radi unaprjeđenja poslovnog ambijenta Crne Gore;</w:t>
      </w:r>
    </w:p>
    <w:p w14:paraId="747C8FAC" w14:textId="77777777" w:rsidR="00552B9C" w:rsidRPr="001C64B5" w:rsidRDefault="00552B9C" w:rsidP="00552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lastRenderedPageBreak/>
        <w:t>Unaprjeđenje saradnje u upravljanju intelektualnom svojinom i transferom tehnologija.</w:t>
      </w:r>
    </w:p>
    <w:p w14:paraId="69A0AC59" w14:textId="77777777" w:rsidR="00552B9C" w:rsidRPr="001C64B5" w:rsidRDefault="00552B9C" w:rsidP="00552B9C">
      <w:pPr>
        <w:spacing w:before="40" w:after="0" w:line="276" w:lineRule="auto"/>
        <w:ind w:right="-96"/>
        <w:jc w:val="both"/>
        <w:rPr>
          <w:rFonts w:ascii="Poppins" w:hAnsi="Poppins" w:cs="Poppins"/>
          <w:lang w:val="sr-Latn-ME"/>
        </w:rPr>
      </w:pPr>
      <w:r w:rsidRPr="001C64B5">
        <w:rPr>
          <w:rFonts w:ascii="Poppins" w:hAnsi="Poppins" w:cs="Poppins"/>
          <w:lang w:val="sr-Latn-ME"/>
        </w:rPr>
        <w:t>U skladu sa pravnim i strateškim okvirom usmjerenim na razvoj inovaciono</w:t>
      </w:r>
      <w:r w:rsidRPr="001C64B5">
        <w:rPr>
          <w:rFonts w:ascii="Poppins" w:hAnsi="Poppins" w:cs="Poppins"/>
          <w:b/>
          <w:lang w:val="sr-Latn-ME"/>
        </w:rPr>
        <w:t>-</w:t>
      </w:r>
      <w:r w:rsidRPr="001C64B5">
        <w:rPr>
          <w:rFonts w:ascii="Poppins" w:hAnsi="Poppins" w:cs="Poppins"/>
          <w:lang w:val="sr-Latn-ME"/>
        </w:rPr>
        <w:t>preduzetničkog ekosistema u Crnoj Gori, NTP CG objavljuje Poziv za prijem stanara startapovima/spinofovima i timovima sa inovativnim potencijalom, radi ostvarivanja sljedećih ciljeva:</w:t>
      </w:r>
    </w:p>
    <w:p w14:paraId="5400BDB4" w14:textId="77777777" w:rsidR="00552B9C" w:rsidRPr="001C64B5" w:rsidRDefault="00552B9C" w:rsidP="00552B9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568" w:right="-96" w:hanging="284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Ubrzan razvoj, sticanje novih znanja i vještina pojedinaca / timova / organizacija za potrebe tržišnog nastupa, kroz procese umrežavanja i generisanja novih poslovnih projekata;</w:t>
      </w:r>
    </w:p>
    <w:p w14:paraId="3B7A8765" w14:textId="77777777" w:rsidR="00552B9C" w:rsidRPr="001C64B5" w:rsidRDefault="00552B9C" w:rsidP="00552B9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8" w:right="-96" w:hanging="284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Stimulisanje pokretanja i/ili razvoja biznisa od strane startapova/spinofova i timova sa inovativnim potencijalom;</w:t>
      </w:r>
    </w:p>
    <w:p w14:paraId="66A901D5" w14:textId="77777777" w:rsidR="00552B9C" w:rsidRPr="001C64B5" w:rsidRDefault="00552B9C" w:rsidP="00552B9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8" w:right="-96" w:hanging="284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Upravljanje intelektualnom svojinom i transferom tehnologija u cilju podsticanja komercijalizacije naučno-istraživačkih rezultata;</w:t>
      </w:r>
    </w:p>
    <w:p w14:paraId="7CB847E7" w14:textId="77777777" w:rsidR="00552B9C" w:rsidRPr="001C64B5" w:rsidRDefault="00552B9C" w:rsidP="00552B9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8" w:right="-96" w:hanging="284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Kreiranje i razvoj inovativnih proizvoda, usluga i procesa u oblasti visokih tehnologija sa potencijalom za rast i otvaranje novih visoko kvalifikovanih radnih mjesta;</w:t>
      </w:r>
    </w:p>
    <w:p w14:paraId="44AB6EF7" w14:textId="77777777" w:rsidR="00552B9C" w:rsidRPr="001C64B5" w:rsidRDefault="00552B9C" w:rsidP="00552B9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568" w:right="-96" w:hanging="284"/>
        <w:jc w:val="both"/>
        <w:rPr>
          <w:rFonts w:ascii="Poppins" w:hAnsi="Poppins" w:cs="Poppins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Stimulisanje izvoza inovativnih proizvoda i usluga;</w:t>
      </w:r>
    </w:p>
    <w:p w14:paraId="7FCCD1EB" w14:textId="77777777" w:rsidR="00552B9C" w:rsidRPr="001C64B5" w:rsidRDefault="00552B9C" w:rsidP="00552B9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568" w:right="-96" w:hanging="284"/>
        <w:jc w:val="both"/>
        <w:rPr>
          <w:rFonts w:ascii="Poppins" w:hAnsi="Poppins" w:cs="Poppins"/>
          <w:lang w:val="sr-Latn-ME"/>
        </w:rPr>
      </w:pPr>
      <w:r w:rsidRPr="001C64B5">
        <w:rPr>
          <w:rFonts w:ascii="Poppins" w:hAnsi="Poppins" w:cs="Poppins"/>
          <w:lang w:val="sr-Latn-ME"/>
        </w:rPr>
        <w:t>Povezivanje stanara NTP-a sa akterima inovaciono-preduzetničkog ekosistema u zemlji i inostranstvu.</w:t>
      </w:r>
      <w:r w:rsidRPr="001C64B5">
        <w:rPr>
          <w:rFonts w:ascii="Poppins" w:hAnsi="Poppins" w:cs="Poppins"/>
          <w:color w:val="FFFFFF"/>
          <w:sz w:val="20"/>
          <w:szCs w:val="20"/>
          <w:lang w:val="sr-Latn-ME"/>
        </w:rPr>
        <w:t xml:space="preserve">: </w:t>
      </w:r>
    </w:p>
    <w:p w14:paraId="6F9E1C8E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right="-96"/>
        <w:jc w:val="both"/>
        <w:rPr>
          <w:rFonts w:ascii="Poppins" w:hAnsi="Poppins" w:cs="Poppins"/>
          <w:lang w:val="sr-Latn-ME"/>
        </w:rPr>
      </w:pPr>
    </w:p>
    <w:p w14:paraId="1FBA5AEA" w14:textId="77777777" w:rsidR="00552B9C" w:rsidRPr="001C64B5" w:rsidRDefault="00552B9C" w:rsidP="00552B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before="20" w:after="0" w:line="276" w:lineRule="auto"/>
        <w:ind w:left="284" w:right="-96" w:hanging="284"/>
        <w:jc w:val="both"/>
        <w:rPr>
          <w:rFonts w:ascii="Poppins" w:hAnsi="Poppins" w:cs="Poppins"/>
          <w:b/>
          <w:color w:val="FFFFFF"/>
          <w:lang w:val="sr-Latn-ME"/>
        </w:rPr>
      </w:pPr>
      <w:r w:rsidRPr="001C64B5">
        <w:rPr>
          <w:rFonts w:ascii="Poppins" w:hAnsi="Poppins" w:cs="Poppins"/>
          <w:b/>
          <w:color w:val="FFFFFF"/>
          <w:lang w:val="sr-Latn-ME"/>
        </w:rPr>
        <w:t xml:space="preserve">PRAVO UČEŠĆA:  </w:t>
      </w:r>
    </w:p>
    <w:p w14:paraId="4B3E8911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Pravo učešća u Javnom pozivu imaju startapovi/spinofovi i timovi sa inovativnim potencijalom koji razvijaju inovativne proizvode</w:t>
      </w:r>
      <w:r w:rsidRPr="001C64B5">
        <w:rPr>
          <w:rFonts w:ascii="Poppins" w:hAnsi="Poppins" w:cs="Poppins"/>
          <w:color w:val="000000"/>
          <w:vertAlign w:val="superscript"/>
          <w:lang w:val="sr-Latn-ME"/>
        </w:rPr>
        <w:footnoteReference w:id="1"/>
      </w:r>
      <w:r w:rsidRPr="001C64B5">
        <w:rPr>
          <w:rFonts w:ascii="Poppins" w:hAnsi="Poppins" w:cs="Poppins"/>
          <w:color w:val="000000"/>
          <w:lang w:val="sr-Latn-ME"/>
        </w:rPr>
        <w:t>, usluge ili tehnologije, i to:</w:t>
      </w:r>
    </w:p>
    <w:p w14:paraId="391D24A6" w14:textId="77777777" w:rsidR="00552B9C" w:rsidRPr="001C64B5" w:rsidRDefault="00552B9C" w:rsidP="00552B9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426" w:right="-99" w:hanging="426"/>
        <w:jc w:val="both"/>
        <w:rPr>
          <w:rFonts w:ascii="Poppins" w:hAnsi="Poppins" w:cs="Poppins"/>
          <w:color w:val="000000"/>
          <w:lang w:val="sr-Latn-ME"/>
        </w:rPr>
      </w:pPr>
      <w:bookmarkStart w:id="3" w:name="_heading=h.3znysh7" w:colFirst="0" w:colLast="0"/>
      <w:bookmarkEnd w:id="3"/>
      <w:r w:rsidRPr="001C64B5">
        <w:rPr>
          <w:rFonts w:ascii="Poppins" w:hAnsi="Poppins" w:cs="Poppins"/>
          <w:b/>
          <w:color w:val="000000"/>
          <w:lang w:val="sr-Latn-ME"/>
        </w:rPr>
        <w:t>Startapovi/Spinofovi</w:t>
      </w:r>
      <w:r w:rsidRPr="001C64B5">
        <w:rPr>
          <w:rFonts w:ascii="Poppins" w:hAnsi="Poppins" w:cs="Poppins"/>
          <w:b/>
          <w:color w:val="000000"/>
          <w:vertAlign w:val="superscript"/>
          <w:lang w:val="sr-Latn-ME"/>
        </w:rPr>
        <w:footnoteReference w:id="2"/>
      </w:r>
      <w:r w:rsidRPr="001C64B5">
        <w:rPr>
          <w:rFonts w:ascii="Poppins" w:hAnsi="Poppins" w:cs="Poppins"/>
          <w:color w:val="000000"/>
          <w:lang w:val="sr-Latn-ME"/>
        </w:rPr>
        <w:t xml:space="preserve"> sa sjedištem u Crnoj Gori mogu učestvovati na ovom Javnom pozivu pod sljedećim uslovima:</w:t>
      </w:r>
    </w:p>
    <w:p w14:paraId="2E13B51E" w14:textId="77777777" w:rsidR="00552B9C" w:rsidRPr="001C64B5" w:rsidRDefault="00552B9C" w:rsidP="00552B9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993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protiv njih se ne vode postupci likvidacije ili stečaja i nije im izrečena mjera trajne ili privremene zabrane obavljanja poslovne djelatnosti; </w:t>
      </w:r>
    </w:p>
    <w:p w14:paraId="45181E4F" w14:textId="77777777" w:rsidR="00552B9C" w:rsidRPr="001C64B5" w:rsidRDefault="00552B9C" w:rsidP="00552B9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993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zakonski zastupnik nije osuđivan za krivična djela protiv privrede i protiv životne sredine, za krivično djelo primanja ili davanja mita i krivično djelo prevare;</w:t>
      </w:r>
    </w:p>
    <w:p w14:paraId="494F9171" w14:textId="77777777" w:rsidR="00552B9C" w:rsidRPr="001C64B5" w:rsidRDefault="00552B9C" w:rsidP="00552B9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993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ne posluju u nekoj od sljedećih oblasti: proizvodnja/trgovina oružjem i municijom, proizvodnja/trgovina alkoholnim pićima (izuzev piva i vina), proizvodnja/trgovina </w:t>
      </w:r>
      <w:r w:rsidRPr="001C64B5">
        <w:rPr>
          <w:rFonts w:ascii="Poppins" w:hAnsi="Poppins" w:cs="Poppins"/>
          <w:color w:val="000000"/>
          <w:lang w:val="sr-Latn-ME"/>
        </w:rPr>
        <w:lastRenderedPageBreak/>
        <w:t>akciznom robom, igre na sreću;</w:t>
      </w:r>
    </w:p>
    <w:p w14:paraId="0C8B869A" w14:textId="77777777" w:rsidR="00552B9C" w:rsidRPr="001C64B5" w:rsidRDefault="00552B9C" w:rsidP="00552B9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993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proizvod ili tehnologija ne narušavaju biodiverzitet i/ili ugrožavaju životnu sredinu</w:t>
      </w:r>
      <w:r w:rsidRPr="001C64B5">
        <w:rPr>
          <w:rFonts w:ascii="Poppins" w:hAnsi="Poppins" w:cs="Poppins"/>
          <w:lang w:val="sr-Latn-ME"/>
        </w:rPr>
        <w:t>.</w:t>
      </w:r>
    </w:p>
    <w:p w14:paraId="5FB780A9" w14:textId="77777777" w:rsidR="00552B9C" w:rsidRPr="001C64B5" w:rsidRDefault="00552B9C" w:rsidP="00552B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both"/>
        <w:rPr>
          <w:rFonts w:ascii="Poppins" w:hAnsi="Poppins" w:cs="Poppins"/>
          <w:lang w:val="sr-Latn-ME"/>
        </w:rPr>
      </w:pPr>
      <w:r w:rsidRPr="001C64B5">
        <w:rPr>
          <w:rFonts w:ascii="Poppins" w:hAnsi="Poppins" w:cs="Poppins"/>
          <w:lang w:val="sr-Latn-ME"/>
        </w:rPr>
        <w:t>Prijave se mogu podnositi samo po osnovu jednog Javnog poziva za prijem stanara u Naučno-tehnološki park.</w:t>
      </w:r>
    </w:p>
    <w:p w14:paraId="1DCFAE82" w14:textId="77777777" w:rsidR="00552B9C" w:rsidRPr="001C64B5" w:rsidRDefault="00552B9C" w:rsidP="00552B9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426" w:right="-99" w:hanging="42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b/>
          <w:color w:val="000000"/>
          <w:lang w:val="sr-Latn-ME"/>
        </w:rPr>
        <w:t>Timovi</w:t>
      </w:r>
      <w:r w:rsidRPr="001C64B5">
        <w:rPr>
          <w:rFonts w:ascii="Poppins" w:hAnsi="Poppins" w:cs="Poppins"/>
          <w:color w:val="000000"/>
          <w:lang w:val="sr-Latn-ME"/>
        </w:rPr>
        <w:t xml:space="preserve"> sa inovativnim potencijalom (neformalni timovi pojedinaca) usmjereni na razvoj inovativnih ili visokotehnoloških proizvoda, usluga ili procesa sa značajnim potencijalom rasta na tržištu. </w:t>
      </w:r>
    </w:p>
    <w:p w14:paraId="43668645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right="-99"/>
        <w:jc w:val="both"/>
        <w:rPr>
          <w:rFonts w:ascii="Poppins" w:hAnsi="Poppins" w:cs="Poppins"/>
          <w:lang w:val="sr-Latn-ME"/>
        </w:rPr>
      </w:pPr>
    </w:p>
    <w:p w14:paraId="7B17D137" w14:textId="77777777" w:rsidR="00552B9C" w:rsidRPr="001C64B5" w:rsidRDefault="00552B9C" w:rsidP="00552B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after="0" w:line="276" w:lineRule="auto"/>
        <w:ind w:left="284" w:right="-99" w:hanging="284"/>
        <w:jc w:val="both"/>
        <w:rPr>
          <w:rFonts w:ascii="Poppins" w:hAnsi="Poppins" w:cs="Poppins"/>
          <w:b/>
          <w:color w:val="FFFFFF"/>
          <w:lang w:val="sr-Latn-ME"/>
        </w:rPr>
      </w:pPr>
      <w:bookmarkStart w:id="4" w:name="_heading=h.2et92p0" w:colFirst="0" w:colLast="0"/>
      <w:bookmarkEnd w:id="4"/>
      <w:r w:rsidRPr="001C64B5">
        <w:rPr>
          <w:rFonts w:ascii="Poppins" w:hAnsi="Poppins" w:cs="Poppins"/>
          <w:b/>
          <w:color w:val="FFFFFF"/>
          <w:lang w:val="sr-Latn-ME"/>
        </w:rPr>
        <w:t xml:space="preserve">DOSTUPNE USLUGE PODRŠKE NAUČNO-TEHNOLOŠKOG PARKA CRNE GORE: </w:t>
      </w:r>
    </w:p>
    <w:p w14:paraId="5BC22DF4" w14:textId="77777777" w:rsidR="00552B9C" w:rsidRPr="001C64B5" w:rsidRDefault="00552B9C" w:rsidP="00552B9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426" w:right="-99" w:hanging="425"/>
        <w:rPr>
          <w:rFonts w:ascii="Poppins" w:hAnsi="Poppins" w:cs="Poppins"/>
          <w:b/>
          <w:color w:val="000000"/>
          <w:lang w:val="sr-Latn-ME"/>
        </w:rPr>
      </w:pPr>
      <w:bookmarkStart w:id="5" w:name="_heading=h.tyjcwt" w:colFirst="0" w:colLast="0"/>
      <w:bookmarkEnd w:id="5"/>
      <w:r w:rsidRPr="001C64B5">
        <w:rPr>
          <w:rFonts w:ascii="Poppins" w:hAnsi="Poppins" w:cs="Poppins"/>
          <w:b/>
          <w:color w:val="000000"/>
          <w:lang w:val="sr-Latn-ME"/>
        </w:rPr>
        <w:t>Infrastrukturna podrška</w:t>
      </w:r>
    </w:p>
    <w:p w14:paraId="4369D6F6" w14:textId="77777777" w:rsidR="00552B9C" w:rsidRPr="001C64B5" w:rsidRDefault="00552B9C" w:rsidP="00552B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bookmarkStart w:id="6" w:name="_heading=h.3dy6vkm" w:colFirst="0" w:colLast="0"/>
      <w:bookmarkEnd w:id="6"/>
      <w:r w:rsidRPr="001C64B5">
        <w:rPr>
          <w:rFonts w:ascii="Poppins" w:hAnsi="Poppins" w:cs="Poppins"/>
          <w:color w:val="000000"/>
          <w:lang w:val="sr-Latn-ME"/>
        </w:rPr>
        <w:t>Infrastrukturna podrška podrazumijeva korišćenje raspoloživog poslovnog prostora u objektu NTP CG, bul. Mihaila Lalića bb, 81000 Podgorica, koja se sastoji od:</w:t>
      </w:r>
    </w:p>
    <w:p w14:paraId="4E6875BB" w14:textId="77777777" w:rsidR="00552B9C" w:rsidRPr="001C64B5" w:rsidRDefault="00552B9C" w:rsidP="00552B9C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Osnovnih usluga:</w:t>
      </w:r>
    </w:p>
    <w:p w14:paraId="18796306" w14:textId="77777777" w:rsidR="00552B9C" w:rsidRPr="001C64B5" w:rsidRDefault="00552B9C" w:rsidP="00552B9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bookmarkStart w:id="7" w:name="_heading=h.1t3h5sf" w:colFirst="0" w:colLast="0"/>
      <w:bookmarkEnd w:id="7"/>
      <w:r w:rsidRPr="001C64B5">
        <w:rPr>
          <w:rFonts w:ascii="Poppins" w:hAnsi="Poppins" w:cs="Poppins"/>
          <w:color w:val="000000"/>
          <w:lang w:val="sr-Latn-ME"/>
        </w:rPr>
        <w:t>kancelarijskog multifunkcionalnog prostora;</w:t>
      </w:r>
    </w:p>
    <w:p w14:paraId="03D899BA" w14:textId="77777777" w:rsidR="00552B9C" w:rsidRPr="001C64B5" w:rsidRDefault="00552B9C" w:rsidP="00552B9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„co-working“ prostora;</w:t>
      </w:r>
    </w:p>
    <w:p w14:paraId="278E1F0E" w14:textId="77777777" w:rsidR="00552B9C" w:rsidRPr="001C64B5" w:rsidRDefault="00552B9C" w:rsidP="00552B9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kongresnog centra i sala za sastanke;</w:t>
      </w:r>
    </w:p>
    <w:p w14:paraId="124A358E" w14:textId="77777777" w:rsidR="00552B9C" w:rsidRPr="001C64B5" w:rsidRDefault="00552B9C" w:rsidP="00552B9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pristupa brzom internetu i ostalim savremenim tehnološkim instalacijama;</w:t>
      </w:r>
    </w:p>
    <w:p w14:paraId="43F5376B" w14:textId="77777777" w:rsidR="00552B9C" w:rsidRPr="001C64B5" w:rsidRDefault="00552B9C" w:rsidP="00552B9C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right="-9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Posebnih usluga:</w:t>
      </w:r>
    </w:p>
    <w:p w14:paraId="315BCB81" w14:textId="77777777" w:rsidR="00552B9C" w:rsidRPr="001C64B5" w:rsidRDefault="00552B9C" w:rsidP="00552B9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highlight w:val="white"/>
          <w:lang w:val="sr-Latn-ME"/>
        </w:rPr>
        <w:t>uslovnog pristupa specijalizovanim laboratorijama;</w:t>
      </w:r>
    </w:p>
    <w:p w14:paraId="299AE038" w14:textId="77777777" w:rsidR="00552B9C" w:rsidRPr="001C64B5" w:rsidRDefault="00552B9C" w:rsidP="00552B9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ograničenog broja garažnih i spoljnih parking mjesta;</w:t>
      </w:r>
    </w:p>
    <w:p w14:paraId="35987B58" w14:textId="77777777" w:rsidR="00552B9C" w:rsidRPr="001C64B5" w:rsidRDefault="00552B9C" w:rsidP="00552B9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magacinskog prostora;</w:t>
      </w:r>
    </w:p>
    <w:p w14:paraId="35C09EE2" w14:textId="77777777" w:rsidR="00552B9C" w:rsidRPr="001C64B5" w:rsidRDefault="00552B9C" w:rsidP="00552B9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" w:after="1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ostalih zajedničkih prostora (teretana, igraonica za djecu i dr.).</w:t>
      </w:r>
    </w:p>
    <w:p w14:paraId="399C1B9E" w14:textId="77777777" w:rsidR="00552B9C" w:rsidRPr="001C64B5" w:rsidRDefault="00552B9C" w:rsidP="00552B9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-99" w:hanging="426"/>
        <w:jc w:val="both"/>
        <w:rPr>
          <w:rFonts w:ascii="Poppins" w:hAnsi="Poppins" w:cs="Poppins"/>
          <w:b/>
          <w:color w:val="000000"/>
          <w:lang w:val="sr-Latn-ME"/>
        </w:rPr>
      </w:pPr>
      <w:r w:rsidRPr="001C64B5">
        <w:rPr>
          <w:rFonts w:ascii="Poppins" w:hAnsi="Poppins" w:cs="Poppins"/>
          <w:b/>
          <w:color w:val="000000"/>
          <w:lang w:val="sr-Latn-ME"/>
        </w:rPr>
        <w:t>Stručna / poslovna podrška:</w:t>
      </w:r>
    </w:p>
    <w:p w14:paraId="34DC5C3C" w14:textId="77777777" w:rsidR="00552B9C" w:rsidRPr="001C64B5" w:rsidRDefault="00552B9C" w:rsidP="00552B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podrška u rastu i razvoju;</w:t>
      </w:r>
    </w:p>
    <w:p w14:paraId="04CB297D" w14:textId="77777777" w:rsidR="00552B9C" w:rsidRPr="001C64B5" w:rsidRDefault="00552B9C" w:rsidP="00552B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treninzi i edukacija;</w:t>
      </w:r>
    </w:p>
    <w:p w14:paraId="01036307" w14:textId="77777777" w:rsidR="00552B9C" w:rsidRPr="001C64B5" w:rsidRDefault="00552B9C" w:rsidP="00552B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mentorske usluge;</w:t>
      </w:r>
    </w:p>
    <w:p w14:paraId="79FAA302" w14:textId="77777777" w:rsidR="00552B9C" w:rsidRPr="001C64B5" w:rsidRDefault="00552B9C" w:rsidP="00552B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marketing usluge;</w:t>
      </w:r>
    </w:p>
    <w:p w14:paraId="1F4C8F06" w14:textId="77777777" w:rsidR="00552B9C" w:rsidRPr="001C64B5" w:rsidRDefault="00552B9C" w:rsidP="00552B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bookmarkStart w:id="8" w:name="_heading=h.4d34og8" w:colFirst="0" w:colLast="0"/>
      <w:bookmarkEnd w:id="8"/>
      <w:r w:rsidRPr="001C64B5">
        <w:rPr>
          <w:rFonts w:ascii="Poppins" w:hAnsi="Poppins" w:cs="Poppins"/>
          <w:color w:val="000000"/>
          <w:lang w:val="sr-Latn-ME"/>
        </w:rPr>
        <w:t>usluge povezivanja i umrežavanja sa domaćim i međunarodnim poslovnim partnerima;</w:t>
      </w:r>
    </w:p>
    <w:p w14:paraId="57178B9B" w14:textId="77777777" w:rsidR="00552B9C" w:rsidRPr="001C64B5" w:rsidRDefault="00552B9C" w:rsidP="00552B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bookmarkStart w:id="9" w:name="_heading=h.2s8eyo1" w:colFirst="0" w:colLast="0"/>
      <w:bookmarkEnd w:id="9"/>
      <w:r w:rsidRPr="001C64B5">
        <w:rPr>
          <w:rFonts w:ascii="Poppins" w:hAnsi="Poppins" w:cs="Poppins"/>
          <w:color w:val="000000"/>
          <w:lang w:val="sr-Latn-ME"/>
        </w:rPr>
        <w:t>organizacija skupova, seminara, konferencija i sl.;</w:t>
      </w:r>
    </w:p>
    <w:p w14:paraId="3D539C84" w14:textId="77777777" w:rsidR="00552B9C" w:rsidRPr="001C64B5" w:rsidRDefault="00552B9C" w:rsidP="00552B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ostalih stručnih i poslovnih usluga i ostalih aktivnosti u sklađenih sa vizijom i misijom NTP CG.</w:t>
      </w:r>
    </w:p>
    <w:p w14:paraId="0059F4B1" w14:textId="77777777" w:rsidR="00552B9C" w:rsidRPr="001C64B5" w:rsidRDefault="00552B9C" w:rsidP="00552B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after="0" w:line="276" w:lineRule="auto"/>
        <w:ind w:left="426" w:right="-99" w:hanging="426"/>
        <w:jc w:val="both"/>
        <w:rPr>
          <w:rFonts w:ascii="Poppins" w:hAnsi="Poppins" w:cs="Poppins"/>
          <w:b/>
          <w:color w:val="FFFFFF"/>
          <w:lang w:val="sr-Latn-ME"/>
        </w:rPr>
      </w:pPr>
      <w:bookmarkStart w:id="10" w:name="_heading=h.17dp8vu" w:colFirst="0" w:colLast="0"/>
      <w:bookmarkEnd w:id="10"/>
      <w:r w:rsidRPr="001C64B5">
        <w:rPr>
          <w:rFonts w:ascii="Poppins" w:hAnsi="Poppins" w:cs="Poppins"/>
          <w:b/>
          <w:color w:val="FFFFFF"/>
          <w:lang w:val="sr-Latn-ME"/>
        </w:rPr>
        <w:lastRenderedPageBreak/>
        <w:t>NAČIN KORIŠĆENJA USLUGA PODRŠKE:</w:t>
      </w:r>
    </w:p>
    <w:p w14:paraId="160CE3D9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-99"/>
        <w:jc w:val="both"/>
        <w:rPr>
          <w:rFonts w:ascii="Poppins" w:hAnsi="Poppins" w:cs="Poppins"/>
          <w:color w:val="000000"/>
          <w:lang w:val="sr-Latn-ME"/>
        </w:rPr>
      </w:pPr>
    </w:p>
    <w:p w14:paraId="078DC27F" w14:textId="77777777" w:rsidR="00552B9C" w:rsidRPr="001C64B5" w:rsidRDefault="00552B9C" w:rsidP="00552B9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right="-96" w:hanging="502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Definisane usluge mogu koristiti startapovi</w:t>
      </w:r>
      <w:r w:rsidRPr="001C64B5">
        <w:rPr>
          <w:rFonts w:ascii="Poppins" w:hAnsi="Poppins" w:cs="Poppins"/>
          <w:lang w:val="sr-Latn-ME"/>
        </w:rPr>
        <w:t>/spinofovi i timovi sa inovativnim potencijalom</w:t>
      </w:r>
      <w:r w:rsidRPr="001C64B5">
        <w:rPr>
          <w:rFonts w:ascii="Poppins" w:hAnsi="Poppins" w:cs="Poppins"/>
          <w:color w:val="000000"/>
          <w:lang w:val="sr-Latn-ME"/>
        </w:rPr>
        <w:t xml:space="preserve"> čije prijave su ocijenjene pozitivno i rangirane u skladu sa definisanim kriterijumima evaluacije i selekcije (Tačka 7) i dostupnim infrastrukturnim kapacitetima </w:t>
      </w:r>
      <w:r w:rsidRPr="001C64B5">
        <w:rPr>
          <w:rFonts w:ascii="Poppins" w:hAnsi="Poppins" w:cs="Poppins"/>
          <w:lang w:val="sr-Latn-ME"/>
        </w:rPr>
        <w:t>NTP CG</w:t>
      </w:r>
      <w:r w:rsidRPr="001C64B5">
        <w:rPr>
          <w:rFonts w:ascii="Poppins" w:hAnsi="Poppins" w:cs="Poppins"/>
          <w:color w:val="000000"/>
          <w:lang w:val="sr-Latn-ME"/>
        </w:rPr>
        <w:t xml:space="preserve">. </w:t>
      </w:r>
    </w:p>
    <w:p w14:paraId="646B28A1" w14:textId="77777777" w:rsidR="00552B9C" w:rsidRPr="001C64B5" w:rsidRDefault="00552B9C" w:rsidP="00552B9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right="-96" w:hanging="502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lang w:val="sr-Latn-ME"/>
        </w:rPr>
        <w:t>Tržišna vrijednost infrastrukturnih usluga definisana je Odlukom o cijeni infrastrukturnih usluga NTP CG.</w:t>
      </w:r>
    </w:p>
    <w:p w14:paraId="7E02981C" w14:textId="77777777" w:rsidR="00552B9C" w:rsidRPr="001C64B5" w:rsidRDefault="00552B9C" w:rsidP="00552B9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right="-96" w:hanging="502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lang w:val="sr-Latn-ME"/>
        </w:rPr>
        <w:t>NTP CG stavlja usluge podrške iz tačke 3.1.1. na raspolaganje startapovima (za vrijeme trajanja statusa startapa), spinofovima (startapovi osnovani od strane matičnog pravnog lica a najviše do navršene pete godine od osnivanja) i timovima sa inovativnim potencijalom (timovi koji su se kvalifikovali imaju obavezu da se u roku od 30 dana registruju u Centralni registar privrednih subjekata, do tada imaju pravo korišćenja co-working prostora bez plaćanja naknade, a nakon čega im se ostale usluge iz 3.1.1. stavljaju na raspolaganje do 5 godina od dana registracije),</w:t>
      </w:r>
      <w:r w:rsidRPr="001C64B5">
        <w:rPr>
          <w:rFonts w:ascii="Poppins" w:hAnsi="Poppins" w:cs="Poppins"/>
          <w:color w:val="000000"/>
          <w:lang w:val="sr-Latn-ME"/>
        </w:rPr>
        <w:t xml:space="preserve"> u skladu sa definicijom iz člana 10 Zakona o inovacionoj djelatnosti, pod sljedećim uslovima:</w:t>
      </w:r>
    </w:p>
    <w:p w14:paraId="4492649B" w14:textId="77777777" w:rsidR="00552B9C" w:rsidRPr="001C64B5" w:rsidRDefault="00552B9C" w:rsidP="00552B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7" w:right="-96" w:hanging="357"/>
        <w:rPr>
          <w:rFonts w:ascii="Poppins" w:hAnsi="Poppins" w:cs="Poppins"/>
          <w:b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U prvoj godini korišćenja infrastrukturnih usluga </w:t>
      </w:r>
      <w:r w:rsidRPr="001C64B5">
        <w:rPr>
          <w:rFonts w:ascii="Poppins" w:hAnsi="Poppins" w:cs="Poppins"/>
          <w:lang w:val="sr-Latn-ME"/>
        </w:rPr>
        <w:t>startapovi/spinofovi i timovi sa inovativnim potencijalom</w:t>
      </w:r>
      <w:r w:rsidRPr="001C64B5">
        <w:rPr>
          <w:rFonts w:ascii="Poppins" w:hAnsi="Poppins" w:cs="Poppins"/>
          <w:color w:val="000000"/>
          <w:lang w:val="sr-Latn-ME"/>
        </w:rPr>
        <w:t xml:space="preserve"> plaćaju 25% definisane vrijednosti usluga;</w:t>
      </w:r>
    </w:p>
    <w:p w14:paraId="3F2A60A8" w14:textId="77777777" w:rsidR="00552B9C" w:rsidRPr="001C64B5" w:rsidRDefault="00552B9C" w:rsidP="00552B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7" w:right="-96" w:hanging="357"/>
        <w:rPr>
          <w:rFonts w:ascii="Poppins" w:hAnsi="Poppins" w:cs="Poppins"/>
          <w:b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U drugoj godini korišćenja infrastrukturnih usluga </w:t>
      </w:r>
      <w:r w:rsidRPr="001C64B5">
        <w:rPr>
          <w:rFonts w:ascii="Poppins" w:hAnsi="Poppins" w:cs="Poppins"/>
          <w:lang w:val="sr-Latn-ME"/>
        </w:rPr>
        <w:t>startapovi/spinofovi i timovi sa inovativnim potencijalom</w:t>
      </w:r>
      <w:r w:rsidRPr="001C64B5">
        <w:rPr>
          <w:rFonts w:ascii="Poppins" w:hAnsi="Poppins" w:cs="Poppins"/>
          <w:color w:val="000000"/>
          <w:lang w:val="sr-Latn-ME"/>
        </w:rPr>
        <w:t xml:space="preserve"> plaćaju 40% definisane vrijednosti usluga, a nakon izvršene evaluacije razvoja društva što će se posebno definisati ugovorom;</w:t>
      </w:r>
    </w:p>
    <w:p w14:paraId="57CAD868" w14:textId="77777777" w:rsidR="00552B9C" w:rsidRPr="001C64B5" w:rsidRDefault="00552B9C" w:rsidP="00552B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7" w:right="-96" w:hanging="357"/>
        <w:rPr>
          <w:rFonts w:ascii="Poppins" w:hAnsi="Poppins" w:cs="Poppins"/>
          <w:b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U trećoj godini korišćenja infrastrukturnih usluga </w:t>
      </w:r>
      <w:r w:rsidRPr="001C64B5">
        <w:rPr>
          <w:rFonts w:ascii="Poppins" w:hAnsi="Poppins" w:cs="Poppins"/>
          <w:lang w:val="sr-Latn-ME"/>
        </w:rPr>
        <w:t>startapovi/spinofovi i timovi sa inovativnim potencijalom</w:t>
      </w:r>
      <w:r w:rsidRPr="001C64B5">
        <w:rPr>
          <w:rFonts w:ascii="Poppins" w:hAnsi="Poppins" w:cs="Poppins"/>
          <w:color w:val="000000"/>
          <w:lang w:val="sr-Latn-ME"/>
        </w:rPr>
        <w:t xml:space="preserve"> plaćaju 55% definisane vrijednosti usluga, a nakon izvršene evaluacije razvoja društva što će se posebno definisati ugovorom;</w:t>
      </w:r>
    </w:p>
    <w:p w14:paraId="1BDD03A5" w14:textId="77777777" w:rsidR="00552B9C" w:rsidRPr="001C64B5" w:rsidRDefault="00552B9C" w:rsidP="00552B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7" w:right="-96" w:hanging="357"/>
        <w:rPr>
          <w:rFonts w:ascii="Poppins" w:hAnsi="Poppins" w:cs="Poppins"/>
          <w:b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U četvrtoj godini korišćenja infrastrukturnih usluga </w:t>
      </w:r>
      <w:r w:rsidRPr="001C64B5">
        <w:rPr>
          <w:rFonts w:ascii="Poppins" w:hAnsi="Poppins" w:cs="Poppins"/>
          <w:lang w:val="sr-Latn-ME"/>
        </w:rPr>
        <w:t>startapovi/spinofovi i timovi sa inovativnim potencijalom</w:t>
      </w:r>
      <w:r w:rsidRPr="001C64B5">
        <w:rPr>
          <w:rFonts w:ascii="Poppins" w:hAnsi="Poppins" w:cs="Poppins"/>
          <w:color w:val="000000"/>
          <w:lang w:val="sr-Latn-ME"/>
        </w:rPr>
        <w:t xml:space="preserve"> plaćaju 70% definisane vrijednosti usluga, a nakon izvršene evaluacije razvoja društva što će se posebno definisati ugovorom;</w:t>
      </w:r>
    </w:p>
    <w:p w14:paraId="08E1A012" w14:textId="77777777" w:rsidR="00552B9C" w:rsidRPr="001C64B5" w:rsidRDefault="00552B9C" w:rsidP="00552B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7" w:right="-96" w:hanging="357"/>
        <w:rPr>
          <w:rFonts w:ascii="Poppins" w:hAnsi="Poppins" w:cs="Poppins"/>
          <w:b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U petoj godini korišćenja infrastrukturnih usluga </w:t>
      </w:r>
      <w:r w:rsidRPr="001C64B5">
        <w:rPr>
          <w:rFonts w:ascii="Poppins" w:hAnsi="Poppins" w:cs="Poppins"/>
          <w:lang w:val="sr-Latn-ME"/>
        </w:rPr>
        <w:t>startapovi/spinofovi i timovi sa inovativnim potencijalom</w:t>
      </w:r>
      <w:r w:rsidRPr="001C64B5">
        <w:rPr>
          <w:rFonts w:ascii="Poppins" w:hAnsi="Poppins" w:cs="Poppins"/>
          <w:color w:val="000000"/>
          <w:lang w:val="sr-Latn-ME"/>
        </w:rPr>
        <w:t xml:space="preserve"> plaćaju 85% definisane vrijednosti usluga, a nakon izvršene evaluacije razvoja društva što će se posebno definisati ugovorom.</w:t>
      </w:r>
    </w:p>
    <w:p w14:paraId="52C67ED2" w14:textId="77777777" w:rsidR="00552B9C" w:rsidRPr="001C64B5" w:rsidRDefault="00552B9C" w:rsidP="00552B9C">
      <w:pPr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lastRenderedPageBreak/>
        <w:t>Dio za koji je umanjena cijena, a s obzirom na činjenicu da se radi o subjektima koji obavljaju privrednu/ekonomsku djelatnost, smatraće se “de minimis” pomoći (državna pomoć male vrijednosti), te će ovi korisnici biti u obavezi da postupaju u skladu sa Pravilnikom o listi pravila državne pomoći („Službeni list CG“, br. 35/14, 02/15, 38/15, 20/16, 33/20, 38/20, 130/20, 44/21, 15/22, 52/22 34/23, 57/23, 115/23, 26/24), kao i u skladu sa odredbama iz zakonskih akata kojima se ova oblast reguliše. Ukupan iznos pomoći male vrijednosti (de minimis) koja se dodjeljuje jednom korisniku ne smije kumulativno prelaziti 300.000,00 € tokom bilo kojeg perioda od tri fiskalne godine. Popunjen Obrazac izjave za pomoći male vrijednosti potrebno je dostaviti NTP CG d.o.o. prije potpisivanja Ugovora o zakupu prostora u NTP CG. Davalac državne pomoći – Naučno-tehnološki park Crne Gore d.o.o, biće u obavezi da podatke o dodijeljenoj de minimis pomoći unese u odgovarajući registar državne pomoći kod Agencije za zaštitu konkurencije (AZZK).</w:t>
      </w:r>
    </w:p>
    <w:p w14:paraId="23FC258B" w14:textId="77777777" w:rsidR="00552B9C" w:rsidRPr="001C64B5" w:rsidRDefault="00552B9C" w:rsidP="00552B9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right="-96" w:hanging="42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lang w:val="sr-Latn-ME"/>
        </w:rPr>
        <w:t>I</w:t>
      </w:r>
      <w:r w:rsidRPr="001C64B5">
        <w:rPr>
          <w:rFonts w:ascii="Poppins" w:hAnsi="Poppins" w:cs="Poppins"/>
          <w:color w:val="000000"/>
          <w:lang w:val="sr-Latn-ME"/>
        </w:rPr>
        <w:t>nfrastrukturne usluge iz tačke 3.1.2. (koje se odnose na: ograničeni broja garažnih i spoljnih parking mjesta</w:t>
      </w:r>
      <w:r w:rsidRPr="001C64B5">
        <w:rPr>
          <w:rFonts w:ascii="Poppins" w:hAnsi="Poppins" w:cs="Poppins"/>
          <w:lang w:val="sr-Latn-ME"/>
        </w:rPr>
        <w:t xml:space="preserve">) </w:t>
      </w:r>
      <w:r w:rsidRPr="001C64B5">
        <w:rPr>
          <w:rFonts w:ascii="Poppins" w:hAnsi="Poppins" w:cs="Poppins"/>
          <w:color w:val="000000"/>
          <w:lang w:val="sr-Latn-ME"/>
        </w:rPr>
        <w:t>naplaćivaće se u punom iznosu koji je definisan Odlukom o cijeni infrastrukturnih usluga NTP CG</w:t>
      </w:r>
      <w:r w:rsidRPr="001C64B5">
        <w:rPr>
          <w:rFonts w:ascii="Poppins" w:hAnsi="Poppins" w:cs="Poppins"/>
          <w:lang w:val="sr-Latn-ME"/>
        </w:rPr>
        <w:t>.</w:t>
      </w:r>
    </w:p>
    <w:p w14:paraId="1B390483" w14:textId="77777777" w:rsidR="00552B9C" w:rsidRPr="001C64B5" w:rsidRDefault="00552B9C" w:rsidP="00552B9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right="-96" w:hanging="42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lang w:val="sr-Latn-ME"/>
        </w:rPr>
        <w:t>Ostale infrastrukturne usluge is tačke 3.1.2. (koje se odnose na: uslovni pristup specijalizovanim laboratorijama; usluge magacinskog prostora i ostalih zajedničkih prostora (teretana, igraonica za djecu i dr.)) naplaćivaće se u punom iznosu koji će biti naknadno definisan Odlukom o cijeni ostalih posebnih  infrastrukturnih usluga NTP CG.</w:t>
      </w:r>
    </w:p>
    <w:p w14:paraId="756EE636" w14:textId="77777777" w:rsidR="00552B9C" w:rsidRPr="001C64B5" w:rsidRDefault="00552B9C" w:rsidP="00552B9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right="-96" w:hanging="42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lang w:val="sr-Latn-ME"/>
        </w:rPr>
        <w:t>Troškovi režije (električna energija, voda, obezbjeđenje, održavanje higijene i dr.) će biti posebno obračunavani i naplaćeni u skladu sa Odlukom o cijeni infrastrukturnih usluga NTP CG.</w:t>
      </w:r>
    </w:p>
    <w:p w14:paraId="3A82908A" w14:textId="77777777" w:rsidR="00552B9C" w:rsidRPr="001C64B5" w:rsidRDefault="00552B9C" w:rsidP="00552B9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right="-96" w:hanging="42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Usluge iz tačke 3.2. stanari NTP CG će koristiti bez nadoknade, osim specifičnih usluga koje će biti predmet posebnog ugovaranja.</w:t>
      </w:r>
    </w:p>
    <w:p w14:paraId="3DEFDFC4" w14:textId="77777777" w:rsidR="00552B9C" w:rsidRPr="001C64B5" w:rsidRDefault="00552B9C" w:rsidP="00552B9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right="-96" w:hanging="42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Timovi sa inovativnim potencijalom koji su se kvalifikovali za stanara NTP CG imaju obavezu da se u roku od 30 dana registruju u C</w:t>
      </w:r>
      <w:r w:rsidRPr="001C64B5">
        <w:rPr>
          <w:rFonts w:ascii="Poppins" w:hAnsi="Poppins" w:cs="Poppins"/>
          <w:lang w:val="sr-Latn-ME"/>
        </w:rPr>
        <w:t>entralni registar privrednih subjekata</w:t>
      </w:r>
      <w:r w:rsidRPr="001C64B5">
        <w:rPr>
          <w:rFonts w:ascii="Poppins" w:hAnsi="Poppins" w:cs="Poppins"/>
          <w:color w:val="000000"/>
          <w:lang w:val="sr-Latn-ME"/>
        </w:rPr>
        <w:t xml:space="preserve">, a do tada imaju pravo korišćenja co-working prostora bez plaćanja naknade, nakon čega stiču pravo na korišćenje ostalih infrastrukturnih usluga pod prethodno navedenim uslovima. </w:t>
      </w:r>
    </w:p>
    <w:p w14:paraId="36682FAE" w14:textId="77777777" w:rsidR="00552B9C" w:rsidRPr="001C64B5" w:rsidRDefault="00552B9C" w:rsidP="00552B9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right="-96" w:hanging="42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Dobijanjem statusa stanara NTP CG, svi uslovi korišćenja infrastrukturnih i drugih usluga biće definisani Ugovorom o zakupu.</w:t>
      </w:r>
    </w:p>
    <w:p w14:paraId="55F9F901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</w:p>
    <w:p w14:paraId="71D2908C" w14:textId="77777777" w:rsidR="00552B9C" w:rsidRPr="001C64B5" w:rsidRDefault="00552B9C" w:rsidP="00552B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before="240" w:after="0" w:line="276" w:lineRule="auto"/>
        <w:ind w:left="426" w:right="-99" w:hanging="426"/>
        <w:jc w:val="both"/>
        <w:rPr>
          <w:rFonts w:ascii="Poppins" w:hAnsi="Poppins" w:cs="Poppins"/>
          <w:b/>
          <w:color w:val="FFFFFF"/>
          <w:lang w:val="sr-Latn-ME"/>
        </w:rPr>
      </w:pPr>
      <w:r w:rsidRPr="001C64B5">
        <w:rPr>
          <w:rFonts w:ascii="Poppins" w:hAnsi="Poppins" w:cs="Poppins"/>
          <w:b/>
          <w:color w:val="FFFFFF"/>
          <w:lang w:val="sr-Latn-ME"/>
        </w:rPr>
        <w:lastRenderedPageBreak/>
        <w:t>PODNOŠENJE PRIJAVE:</w:t>
      </w:r>
    </w:p>
    <w:p w14:paraId="36004E5C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Prijave se podnose isključivo elektronski, putem portala </w:t>
      </w:r>
      <w:hyperlink r:id="rId9">
        <w:r w:rsidRPr="001C64B5">
          <w:rPr>
            <w:rFonts w:ascii="Poppins" w:hAnsi="Poppins" w:cs="Poppins"/>
            <w:color w:val="0563C1"/>
            <w:u w:val="single"/>
            <w:lang w:val="sr-Latn-ME"/>
          </w:rPr>
          <w:t>www.ntpark.me</w:t>
        </w:r>
      </w:hyperlink>
      <w:r w:rsidRPr="001C64B5">
        <w:rPr>
          <w:rFonts w:ascii="Poppins" w:hAnsi="Poppins" w:cs="Poppins"/>
          <w:color w:val="000000"/>
          <w:lang w:val="sr-Latn-ME"/>
        </w:rPr>
        <w:t xml:space="preserve"> na kojem su dostupni svi potrebni obrasci za prijavljivanje.</w:t>
      </w:r>
    </w:p>
    <w:p w14:paraId="44CAF0DE" w14:textId="77777777" w:rsidR="00552B9C" w:rsidRPr="001C64B5" w:rsidRDefault="00552B9C" w:rsidP="00552B9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right="-96" w:hanging="42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Popunjen Prijavni obrazac definisan ovim Javnim pozivom dostupan je na Web stranici </w:t>
      </w:r>
      <w:hyperlink r:id="rId10">
        <w:r w:rsidRPr="001C64B5">
          <w:rPr>
            <w:rFonts w:ascii="Poppins" w:hAnsi="Poppins" w:cs="Poppins"/>
            <w:color w:val="0563C1"/>
            <w:u w:val="single"/>
            <w:lang w:val="sr-Latn-ME"/>
          </w:rPr>
          <w:t>www.ntpark.me</w:t>
        </w:r>
      </w:hyperlink>
      <w:r w:rsidRPr="001C64B5">
        <w:rPr>
          <w:rFonts w:ascii="Poppins" w:hAnsi="Poppins" w:cs="Poppins"/>
          <w:color w:val="000000"/>
          <w:lang w:val="sr-Latn-ME"/>
        </w:rPr>
        <w:t xml:space="preserve">. </w:t>
      </w:r>
    </w:p>
    <w:p w14:paraId="38875F7F" w14:textId="77777777" w:rsidR="00552B9C" w:rsidRPr="001C64B5" w:rsidRDefault="00552B9C" w:rsidP="00552B9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right="-96" w:hanging="426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Ostala dokumentacija:</w:t>
      </w:r>
    </w:p>
    <w:p w14:paraId="3C6765BA" w14:textId="77777777" w:rsidR="00552B9C" w:rsidRPr="001C64B5" w:rsidRDefault="00552B9C" w:rsidP="00552B9C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Startapovi/ spinofovi (pravna lica):</w:t>
      </w:r>
    </w:p>
    <w:p w14:paraId="65B65B32" w14:textId="77777777" w:rsidR="00552B9C" w:rsidRPr="001C64B5" w:rsidRDefault="00552B9C" w:rsidP="00552B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Rješenje o registraciji ili izvod iz Centralnog registra privrednih subjekata;</w:t>
      </w:r>
    </w:p>
    <w:p w14:paraId="1FD58A12" w14:textId="77777777" w:rsidR="00552B9C" w:rsidRPr="001C64B5" w:rsidRDefault="00552B9C" w:rsidP="00552B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Statut Društva; </w:t>
      </w:r>
    </w:p>
    <w:p w14:paraId="5E1EA682" w14:textId="77777777" w:rsidR="00552B9C" w:rsidRPr="001C64B5" w:rsidRDefault="00552B9C" w:rsidP="00552B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Dokaz da se za pravno lice ne vodi postupak likvidacije;</w:t>
      </w:r>
    </w:p>
    <w:p w14:paraId="58E6BE7D" w14:textId="77777777" w:rsidR="00552B9C" w:rsidRPr="001C64B5" w:rsidRDefault="00552B9C" w:rsidP="00552B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Dokaz da se za pravno lice ne vodi postupak stečaja, i da im nije izrečena mjera trajne ili privremene zabrane obavljanja poslovne djelatnosti;</w:t>
      </w:r>
    </w:p>
    <w:p w14:paraId="2726A584" w14:textId="77777777" w:rsidR="00552B9C" w:rsidRPr="001C64B5" w:rsidRDefault="00552B9C" w:rsidP="00552B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Izvod iz kaznene evidencije za zakonskog zastupnika;</w:t>
      </w:r>
    </w:p>
    <w:p w14:paraId="10A88635" w14:textId="77777777" w:rsidR="00552B9C" w:rsidRPr="001C64B5" w:rsidRDefault="00552B9C" w:rsidP="00552B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Potvrda da redovno izvršavaju obaveze plaćanja poreza i doprinosa na lična primanja, poreza na dobit pravnih lica i poreza na dodatu vrijednost, odnosno redovno izmiruju reprogramirane poreske obaveze;</w:t>
      </w:r>
    </w:p>
    <w:p w14:paraId="2C315D25" w14:textId="77777777" w:rsidR="00552B9C" w:rsidRPr="001C64B5" w:rsidRDefault="00552B9C" w:rsidP="00552B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Finansijski iskazi za posljednje dvije godine ili projekcije finansijskog poslovanja;</w:t>
      </w:r>
    </w:p>
    <w:p w14:paraId="7CCF2FA0" w14:textId="77777777" w:rsidR="00552B9C" w:rsidRPr="001C64B5" w:rsidRDefault="00552B9C" w:rsidP="00552B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Rješenje ministarstva nadležnog za poslove inovacija o upisu u Registar inovacione djelatnosti (u slučaju da je Podnosilac prijave upisan u Registar);</w:t>
      </w:r>
      <w:r w:rsidRPr="001C64B5">
        <w:rPr>
          <w:rFonts w:ascii="Poppins" w:hAnsi="Poppins" w:cs="Poppins"/>
          <w:sz w:val="20"/>
          <w:szCs w:val="20"/>
          <w:lang w:val="sr-Latn-ME"/>
        </w:rPr>
        <w:t xml:space="preserve"> </w:t>
      </w:r>
    </w:p>
    <w:p w14:paraId="33630F80" w14:textId="77777777" w:rsidR="00552B9C" w:rsidRPr="001C64B5" w:rsidRDefault="00552B9C" w:rsidP="00552B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Biografije odgovornih lica (izvršni direktor, predsjednik odbora direktora, predsjednik skupštine društva i sl.);</w:t>
      </w:r>
    </w:p>
    <w:p w14:paraId="7A567D6F" w14:textId="77777777" w:rsidR="00552B9C" w:rsidRPr="001C64B5" w:rsidRDefault="00552B9C" w:rsidP="00552B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Ostala relevantna dokumentacija koja je u skladu sa ciljevima Javnog poziva, ukoliko postoji (biznis plan, certifikati, nagrade, dokazi o učešću u programima podrške, ugovor o investiciji).</w:t>
      </w:r>
    </w:p>
    <w:p w14:paraId="631706A8" w14:textId="77777777" w:rsidR="00552B9C" w:rsidRPr="001C64B5" w:rsidRDefault="00552B9C" w:rsidP="00552B9C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Timovi sa inovativnim potencijalom: </w:t>
      </w:r>
    </w:p>
    <w:p w14:paraId="05673446" w14:textId="77777777" w:rsidR="00552B9C" w:rsidRPr="001C64B5" w:rsidRDefault="00552B9C" w:rsidP="00552B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 w:hanging="357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Prezentacija poslovne ideje („Pitch deck“);</w:t>
      </w:r>
    </w:p>
    <w:p w14:paraId="634D21B7" w14:textId="77777777" w:rsidR="00552B9C" w:rsidRPr="001C64B5" w:rsidRDefault="00552B9C" w:rsidP="00552B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Ostala relevantna dokumentacija koja je u skladu sa ciljevima Javnog poziva (biznis plan, certifikati, nagrade, učešće u programima podrške).</w:t>
      </w:r>
    </w:p>
    <w:p w14:paraId="741B9446" w14:textId="77777777" w:rsidR="00552B9C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</w:p>
    <w:p w14:paraId="53160726" w14:textId="77777777" w:rsidR="00BC3EB7" w:rsidRPr="001C64B5" w:rsidRDefault="00BC3EB7" w:rsidP="00552B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</w:p>
    <w:p w14:paraId="611440A8" w14:textId="77777777" w:rsidR="00552B9C" w:rsidRPr="001C64B5" w:rsidRDefault="00552B9C" w:rsidP="00552B9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before="160" w:after="0" w:line="276" w:lineRule="auto"/>
        <w:ind w:left="426" w:hanging="426"/>
        <w:jc w:val="both"/>
        <w:rPr>
          <w:rFonts w:ascii="Poppins" w:hAnsi="Poppins" w:cs="Poppins"/>
          <w:b/>
          <w:color w:val="FFFFFF"/>
          <w:lang w:val="sr-Latn-ME"/>
        </w:rPr>
      </w:pPr>
      <w:r w:rsidRPr="001C64B5">
        <w:rPr>
          <w:rFonts w:ascii="Poppins" w:hAnsi="Poppins" w:cs="Poppins"/>
          <w:b/>
          <w:color w:val="FFFFFF"/>
          <w:lang w:val="sr-Latn-ME"/>
        </w:rPr>
        <w:lastRenderedPageBreak/>
        <w:t>ROKOVI I NAČIN PRIJAVLJIVANJA</w:t>
      </w:r>
    </w:p>
    <w:p w14:paraId="6101575A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Prijave se podnose isključivo elektronski na web stranici </w:t>
      </w:r>
      <w:r w:rsidRPr="001C64B5">
        <w:rPr>
          <w:rFonts w:ascii="Poppins" w:hAnsi="Poppins" w:cs="Poppins"/>
          <w:color w:val="0563C1"/>
          <w:u w:val="single"/>
          <w:lang w:val="sr-Latn-ME"/>
        </w:rPr>
        <w:t xml:space="preserve">NTP CG – www.ntpark.me. </w:t>
      </w:r>
      <w:r w:rsidRPr="001C64B5">
        <w:rPr>
          <w:rFonts w:ascii="Poppins" w:hAnsi="Poppins" w:cs="Poppins"/>
          <w:color w:val="000000"/>
          <w:lang w:val="sr-Latn-ME"/>
        </w:rPr>
        <w:t xml:space="preserve">Nakon procesa evaluacije, dokumentaciju je potrebno dostaviti u originalu ili </w:t>
      </w:r>
      <w:r w:rsidRPr="001C64B5">
        <w:rPr>
          <w:rFonts w:ascii="Poppins" w:hAnsi="Poppins" w:cs="Poppins"/>
          <w:lang w:val="sr-Latn-ME"/>
        </w:rPr>
        <w:t xml:space="preserve">notarski ovjerenu, koja ne </w:t>
      </w:r>
      <w:r w:rsidRPr="001C64B5">
        <w:rPr>
          <w:rFonts w:ascii="Poppins" w:hAnsi="Poppins" w:cs="Poppins"/>
          <w:color w:val="000000"/>
          <w:lang w:val="sr-Latn-ME"/>
        </w:rPr>
        <w:t>smije biti starija od 3 mjeseca.</w:t>
      </w:r>
    </w:p>
    <w:p w14:paraId="0B810E3C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Javni poziv </w:t>
      </w:r>
      <w:r w:rsidRPr="001C64B5">
        <w:rPr>
          <w:rFonts w:ascii="Poppins" w:hAnsi="Poppins" w:cs="Poppins"/>
          <w:lang w:val="sr-Latn-ME"/>
        </w:rPr>
        <w:t>je otvoren</w:t>
      </w:r>
      <w:r w:rsidRPr="001C64B5">
        <w:rPr>
          <w:rFonts w:ascii="Poppins" w:hAnsi="Poppins" w:cs="Poppins"/>
          <w:color w:val="000000"/>
          <w:lang w:val="sr-Latn-ME"/>
        </w:rPr>
        <w:t xml:space="preserve"> </w:t>
      </w:r>
      <w:r w:rsidRPr="001C64B5">
        <w:rPr>
          <w:rFonts w:ascii="Poppins" w:hAnsi="Poppins" w:cs="Poppins"/>
          <w:lang w:val="sr-Latn-ME"/>
        </w:rPr>
        <w:t>zaključno sa 31.08.2024. godine.</w:t>
      </w:r>
    </w:p>
    <w:p w14:paraId="710BD4E8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Sve informacije u vezi sa Javnim pozivom se mogu dobiti na web stranici NTP CG ili slanjem upita na email adresu: </w:t>
      </w:r>
      <w:hyperlink r:id="rId11">
        <w:r w:rsidRPr="001C64B5">
          <w:rPr>
            <w:rFonts w:ascii="Poppins" w:hAnsi="Poppins" w:cs="Poppins"/>
            <w:color w:val="0563C1"/>
            <w:u w:val="single"/>
            <w:lang w:val="sr-Latn-ME"/>
          </w:rPr>
          <w:t>javnipoziv@ntpark.me</w:t>
        </w:r>
      </w:hyperlink>
      <w:r w:rsidRPr="001C64B5">
        <w:rPr>
          <w:rFonts w:ascii="Poppins" w:hAnsi="Poppins" w:cs="Poppins"/>
          <w:color w:val="000000"/>
          <w:lang w:val="sr-Latn-ME"/>
        </w:rPr>
        <w:t>.</w:t>
      </w:r>
    </w:p>
    <w:p w14:paraId="6DF3C290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</w:p>
    <w:p w14:paraId="3B7BF8F0" w14:textId="77777777" w:rsidR="00552B9C" w:rsidRPr="001C64B5" w:rsidRDefault="00552B9C" w:rsidP="00552B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before="160" w:after="0" w:line="276" w:lineRule="auto"/>
        <w:ind w:left="426" w:hanging="426"/>
        <w:jc w:val="both"/>
        <w:rPr>
          <w:rFonts w:ascii="Poppins" w:hAnsi="Poppins" w:cs="Poppins"/>
          <w:b/>
          <w:color w:val="FFFFFF"/>
          <w:lang w:val="sr-Latn-ME"/>
        </w:rPr>
      </w:pPr>
      <w:r w:rsidRPr="001C64B5">
        <w:rPr>
          <w:rFonts w:ascii="Poppins" w:hAnsi="Poppins" w:cs="Poppins"/>
          <w:b/>
          <w:color w:val="FFFFFF"/>
          <w:lang w:val="sr-Latn-ME"/>
        </w:rPr>
        <w:t>EVALUACIJA I SELEKCIJA</w:t>
      </w:r>
      <w:r w:rsidRPr="001C64B5">
        <w:rPr>
          <w:rFonts w:ascii="Poppins" w:hAnsi="Poppins" w:cs="Poppins"/>
          <w:color w:val="FFFFFF"/>
          <w:lang w:val="sr-Latn-ME"/>
        </w:rPr>
        <w:t xml:space="preserve"> </w:t>
      </w:r>
      <w:r w:rsidRPr="001C64B5">
        <w:rPr>
          <w:rFonts w:ascii="Poppins" w:hAnsi="Poppins" w:cs="Poppins"/>
          <w:b/>
          <w:color w:val="FFFFFF"/>
          <w:lang w:val="sr-Latn-ME"/>
        </w:rPr>
        <w:t>PRIJAVA</w:t>
      </w:r>
    </w:p>
    <w:p w14:paraId="1E09D4F3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Nakon isteka roka za prijavu na Javni poziv, sve prijave prolaze kroz administrativnu provjeru popunjenog prijavnog obrasca i priložene dokumentacije definisane u tački 5.2. Ukoliko su zadovoljeni svi uslovi Javnog poziva, prijava se prosleđuje </w:t>
      </w:r>
      <w:r w:rsidRPr="001C64B5">
        <w:rPr>
          <w:rFonts w:ascii="Poppins" w:hAnsi="Poppins" w:cs="Poppins"/>
          <w:b/>
          <w:i/>
          <w:color w:val="000000"/>
          <w:lang w:val="sr-Latn-ME"/>
        </w:rPr>
        <w:t>Komisiji za evaluaciju prijava</w:t>
      </w:r>
      <w:r w:rsidRPr="001C64B5">
        <w:rPr>
          <w:rFonts w:ascii="Poppins" w:hAnsi="Poppins" w:cs="Poppins"/>
          <w:color w:val="000000"/>
          <w:lang w:val="sr-Latn-ME"/>
        </w:rPr>
        <w:t xml:space="preserve"> na ocjenjivanje. Svi podnosioci prijava koji ne </w:t>
      </w:r>
      <w:r w:rsidRPr="001C64B5">
        <w:rPr>
          <w:rFonts w:ascii="Poppins" w:hAnsi="Poppins" w:cs="Poppins"/>
          <w:lang w:val="sr-Latn-ME"/>
        </w:rPr>
        <w:t>zadovolje</w:t>
      </w:r>
      <w:r w:rsidRPr="001C64B5">
        <w:rPr>
          <w:rFonts w:ascii="Poppins" w:hAnsi="Poppins" w:cs="Poppins"/>
          <w:color w:val="000000"/>
          <w:lang w:val="sr-Latn-ME"/>
        </w:rPr>
        <w:t xml:space="preserve"> administrativnu provjeru biće obaviješteni na mail adresu sa koje su dostavili prijavu.</w:t>
      </w:r>
    </w:p>
    <w:p w14:paraId="7A3B25DF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Svi podaci navedeni u obrascima i dokumentima koji su podnijeti uz prijavu na Javni poziv tretiraće se kao povjerljivi, izuzev onih podatka koji su javno dostupni.</w:t>
      </w:r>
    </w:p>
    <w:p w14:paraId="4A28D3AC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Ocjenjivanje prispjelih prijava će obavljati </w:t>
      </w:r>
      <w:r w:rsidRPr="001C64B5">
        <w:rPr>
          <w:rFonts w:ascii="Poppins" w:hAnsi="Poppins" w:cs="Poppins"/>
          <w:i/>
          <w:color w:val="000000"/>
          <w:lang w:val="sr-Latn-ME"/>
        </w:rPr>
        <w:t xml:space="preserve">Komisija za evaluaciju prijava po osnovu Javnih poziva za prijem stanara u </w:t>
      </w:r>
      <w:r w:rsidRPr="001C64B5">
        <w:rPr>
          <w:rFonts w:ascii="Poppins" w:hAnsi="Poppins" w:cs="Poppins"/>
          <w:i/>
          <w:lang w:val="sr-Latn-ME"/>
        </w:rPr>
        <w:t>NTP CG</w:t>
      </w:r>
      <w:r w:rsidRPr="001C64B5">
        <w:rPr>
          <w:rFonts w:ascii="Poppins" w:hAnsi="Poppins" w:cs="Poppins"/>
          <w:color w:val="000000"/>
          <w:lang w:val="sr-Latn-ME"/>
        </w:rPr>
        <w:t xml:space="preserve"> u skladu sa </w:t>
      </w:r>
      <w:r w:rsidRPr="001C64B5">
        <w:rPr>
          <w:rFonts w:ascii="Poppins" w:hAnsi="Poppins" w:cs="Poppins"/>
          <w:i/>
          <w:color w:val="000000"/>
          <w:lang w:val="sr-Latn-ME"/>
        </w:rPr>
        <w:t>Pravilnikom o bližim kriterijumima za obrazovanje i način rada Komisije za evaluaciju prijava po osnovu Javnih poziva za prijem stanar</w:t>
      </w:r>
      <w:r w:rsidRPr="001C64B5">
        <w:rPr>
          <w:rFonts w:ascii="Poppins" w:hAnsi="Poppins" w:cs="Poppins"/>
          <w:i/>
          <w:lang w:val="sr-Latn-ME"/>
        </w:rPr>
        <w:t>a</w:t>
      </w:r>
      <w:r w:rsidRPr="001C64B5">
        <w:rPr>
          <w:rFonts w:ascii="Poppins" w:hAnsi="Poppins" w:cs="Poppins"/>
          <w:color w:val="000000"/>
          <w:lang w:val="sr-Latn-ME"/>
        </w:rPr>
        <w:t>.</w:t>
      </w:r>
    </w:p>
    <w:p w14:paraId="1B4D4A79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Nakon završenog procesa ocjenjivanja od strane Komisije, podnosioci prijava će dobiti obavještenje o rezultatu evaluacije njihovih prijava u formi evaluacionog izvještaja na mail adresu sa koje su dostavili prijavu, dok će Evaluaciona lista prijava sa brojem poena biti objavljena na web sajtu NTP CG.</w:t>
      </w:r>
    </w:p>
    <w:p w14:paraId="7F2EC764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>Podnosioci prijava koji ostvare više od 60 poena dobiće priliku da uđu u pregovarački proces o definisanju obima infrastrukturne podrške iz tačke 3.1. ovog poziva. Podnosioci prijava sa većim brojem poena imaće prednost u procesu pregovaranja za status stanara u NTP CG, uzimajući u obzir dostupnost kapaciteta infrastrukturne podrške.</w:t>
      </w:r>
    </w:p>
    <w:p w14:paraId="40A43373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lastRenderedPageBreak/>
        <w:t>Ugovori sa podnosiocima prijava će se zaključivati sukcesivno, u skladu sa rezultatima pregovaračkog procesa.</w:t>
      </w:r>
    </w:p>
    <w:p w14:paraId="7656A0CF" w14:textId="77777777" w:rsidR="00552B9C" w:rsidRPr="001C64B5" w:rsidRDefault="00552B9C" w:rsidP="00552B9C">
      <w:pPr>
        <w:tabs>
          <w:tab w:val="left" w:pos="1860"/>
        </w:tabs>
        <w:spacing w:before="144" w:after="144" w:line="276" w:lineRule="auto"/>
        <w:jc w:val="both"/>
        <w:rPr>
          <w:rFonts w:ascii="Poppins" w:hAnsi="Poppins" w:cs="Poppins"/>
          <w:lang w:val="sr-Latn-ME"/>
        </w:rPr>
      </w:pPr>
      <w:r w:rsidRPr="001C64B5">
        <w:rPr>
          <w:rFonts w:ascii="Poppins" w:hAnsi="Poppins" w:cs="Poppins"/>
          <w:lang w:val="sr-Latn-ME"/>
        </w:rPr>
        <w:t>Pozitivno ocijenjeni podnosioci prijava koji zbog ograničenosti kapaciteta infrastrukturne podrške ne budu u mogućnosti da zaključe Ugovor o zakupu prostora, dobiće mogućnost da zaključe Ugovor kao virtuelni stanari u NTP CG.</w:t>
      </w:r>
      <w:r w:rsidRPr="001C64B5">
        <w:rPr>
          <w:rFonts w:ascii="Poppins" w:hAnsi="Poppins" w:cs="Poppins"/>
          <w:lang w:val="sr-Latn-ME"/>
        </w:rPr>
        <w:tab/>
      </w:r>
    </w:p>
    <w:p w14:paraId="40BF54F5" w14:textId="77777777" w:rsidR="00552B9C" w:rsidRPr="001C64B5" w:rsidRDefault="00552B9C" w:rsidP="00552B9C">
      <w:pPr>
        <w:tabs>
          <w:tab w:val="left" w:pos="1860"/>
        </w:tabs>
        <w:spacing w:before="144" w:after="144" w:line="276" w:lineRule="auto"/>
        <w:jc w:val="both"/>
        <w:rPr>
          <w:rFonts w:ascii="Poppins" w:hAnsi="Poppins" w:cs="Poppins"/>
          <w:lang w:val="sr-Latn-ME"/>
        </w:rPr>
      </w:pPr>
    </w:p>
    <w:p w14:paraId="072B05DC" w14:textId="77777777" w:rsidR="00552B9C" w:rsidRPr="001C64B5" w:rsidRDefault="00552B9C" w:rsidP="00552B9C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left="426" w:hanging="426"/>
        <w:jc w:val="both"/>
        <w:rPr>
          <w:rFonts w:ascii="Poppins" w:hAnsi="Poppins" w:cs="Poppins"/>
          <w:b/>
          <w:color w:val="000000"/>
          <w:lang w:val="sr-Latn-ME"/>
        </w:rPr>
      </w:pPr>
      <w:r w:rsidRPr="001C64B5">
        <w:rPr>
          <w:rFonts w:ascii="Poppins" w:hAnsi="Poppins" w:cs="Poppins"/>
          <w:b/>
          <w:color w:val="000000"/>
          <w:lang w:val="sr-Latn-ME"/>
        </w:rPr>
        <w:t>Kriterijumi za izbor stanara</w:t>
      </w:r>
    </w:p>
    <w:tbl>
      <w:tblPr>
        <w:tblW w:w="5000" w:type="pct"/>
        <w:tblBorders>
          <w:top w:val="single" w:sz="4" w:space="0" w:color="000000"/>
          <w:left w:val="single" w:sz="4" w:space="0" w:color="FFFFFF"/>
          <w:bottom w:val="single" w:sz="4" w:space="0" w:color="000000"/>
          <w:right w:val="single" w:sz="4" w:space="0" w:color="FFFFFF"/>
          <w:insideH w:val="single" w:sz="4" w:space="0" w:color="4472C4"/>
          <w:insideV w:val="single" w:sz="4" w:space="0" w:color="4472C4"/>
        </w:tblBorders>
        <w:tblLook w:val="0620" w:firstRow="1" w:lastRow="0" w:firstColumn="0" w:lastColumn="0" w:noHBand="1" w:noVBand="1"/>
      </w:tblPr>
      <w:tblGrid>
        <w:gridCol w:w="9080"/>
        <w:gridCol w:w="1456"/>
      </w:tblGrid>
      <w:tr w:rsidR="00552B9C" w:rsidRPr="001C64B5" w14:paraId="5CB6BB44" w14:textId="77777777" w:rsidTr="00CD0BF9">
        <w:trPr>
          <w:trHeight w:val="472"/>
        </w:trPr>
        <w:tc>
          <w:tcPr>
            <w:tcW w:w="4309" w:type="pct"/>
            <w:tcBorders>
              <w:bottom w:val="nil"/>
            </w:tcBorders>
            <w:shd w:val="clear" w:color="auto" w:fill="44546A"/>
            <w:vAlign w:val="center"/>
          </w:tcPr>
          <w:p w14:paraId="188C8E02" w14:textId="77777777" w:rsidR="00552B9C" w:rsidRPr="001C64B5" w:rsidRDefault="00552B9C" w:rsidP="00CD0BF9">
            <w:pPr>
              <w:spacing w:before="40" w:after="40"/>
              <w:jc w:val="center"/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  <w:t>OPŠTI USLOVI (ELIMINATORNI)</w:t>
            </w:r>
          </w:p>
        </w:tc>
        <w:tc>
          <w:tcPr>
            <w:tcW w:w="691" w:type="pct"/>
            <w:tcBorders>
              <w:bottom w:val="nil"/>
            </w:tcBorders>
            <w:shd w:val="clear" w:color="auto" w:fill="44546A"/>
            <w:vAlign w:val="center"/>
          </w:tcPr>
          <w:p w14:paraId="6330A855" w14:textId="77777777" w:rsidR="00552B9C" w:rsidRPr="001C64B5" w:rsidRDefault="00552B9C" w:rsidP="00CD0BF9">
            <w:pPr>
              <w:spacing w:before="40" w:after="40"/>
              <w:jc w:val="center"/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</w:pPr>
          </w:p>
        </w:tc>
      </w:tr>
      <w:tr w:rsidR="00552B9C" w:rsidRPr="001C64B5" w14:paraId="2BF97273" w14:textId="77777777" w:rsidTr="00CD0BF9">
        <w:trPr>
          <w:trHeight w:val="525"/>
        </w:trPr>
        <w:tc>
          <w:tcPr>
            <w:tcW w:w="4309" w:type="pct"/>
            <w:vAlign w:val="center"/>
          </w:tcPr>
          <w:p w14:paraId="693AF93E" w14:textId="77777777" w:rsidR="00552B9C" w:rsidRPr="001C64B5" w:rsidRDefault="00552B9C" w:rsidP="00552B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2F5496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color w:val="2F5496"/>
                <w:sz w:val="20"/>
                <w:szCs w:val="20"/>
                <w:lang w:val="sr-Latn-ME"/>
              </w:rPr>
              <w:t xml:space="preserve"> Administrativna provjera obrasca i dokumentacije</w:t>
            </w:r>
          </w:p>
        </w:tc>
        <w:tc>
          <w:tcPr>
            <w:tcW w:w="691" w:type="pct"/>
            <w:vAlign w:val="center"/>
          </w:tcPr>
          <w:p w14:paraId="16789BB0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color w:val="2F5496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2F5496"/>
                <w:sz w:val="20"/>
                <w:szCs w:val="20"/>
                <w:lang w:val="sr-Latn-ME"/>
              </w:rPr>
              <w:t>DA / NE</w:t>
            </w:r>
          </w:p>
        </w:tc>
      </w:tr>
      <w:tr w:rsidR="00552B9C" w:rsidRPr="001C64B5" w14:paraId="5E180310" w14:textId="77777777" w:rsidTr="00CD0BF9">
        <w:trPr>
          <w:trHeight w:val="552"/>
        </w:trPr>
        <w:tc>
          <w:tcPr>
            <w:tcW w:w="4309" w:type="pct"/>
            <w:vAlign w:val="center"/>
          </w:tcPr>
          <w:p w14:paraId="1BA87282" w14:textId="77777777" w:rsidR="00552B9C" w:rsidRPr="001C64B5" w:rsidRDefault="00552B9C" w:rsidP="00552B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2F5496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color w:val="2F5496"/>
                <w:sz w:val="20"/>
                <w:szCs w:val="20"/>
                <w:lang w:val="sr-Latn-ME"/>
              </w:rPr>
              <w:t>Prijava podnosioca je ostvarila 60 i više poena</w:t>
            </w:r>
          </w:p>
        </w:tc>
        <w:tc>
          <w:tcPr>
            <w:tcW w:w="691" w:type="pct"/>
            <w:vAlign w:val="center"/>
          </w:tcPr>
          <w:p w14:paraId="283D98B4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color w:val="2F5496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2F5496"/>
                <w:sz w:val="20"/>
                <w:szCs w:val="20"/>
                <w:lang w:val="sr-Latn-ME"/>
              </w:rPr>
              <w:t>DA / NE</w:t>
            </w:r>
          </w:p>
        </w:tc>
      </w:tr>
      <w:tr w:rsidR="00552B9C" w:rsidRPr="001C64B5" w14:paraId="138E65A7" w14:textId="77777777" w:rsidTr="00CD0BF9">
        <w:trPr>
          <w:trHeight w:val="735"/>
        </w:trPr>
        <w:tc>
          <w:tcPr>
            <w:tcW w:w="4309" w:type="pct"/>
            <w:vAlign w:val="center"/>
          </w:tcPr>
          <w:p w14:paraId="5A3A5633" w14:textId="77777777" w:rsidR="00552B9C" w:rsidRPr="001C64B5" w:rsidRDefault="00552B9C" w:rsidP="00552B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2F5496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color w:val="2F5496"/>
                <w:sz w:val="20"/>
                <w:szCs w:val="20"/>
                <w:lang w:val="sr-Latn-ME"/>
              </w:rPr>
              <w:t>Tehnički i logistički zahtjevi podnosioca prijave odgovaraju infrastrukturnim mogućnostima NTP-a</w:t>
            </w:r>
          </w:p>
        </w:tc>
        <w:tc>
          <w:tcPr>
            <w:tcW w:w="691" w:type="pct"/>
            <w:vAlign w:val="center"/>
          </w:tcPr>
          <w:p w14:paraId="0B09D71F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color w:val="2F5496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2F5496"/>
                <w:sz w:val="20"/>
                <w:szCs w:val="20"/>
                <w:lang w:val="sr-Latn-ME"/>
              </w:rPr>
              <w:t>DA / NE</w:t>
            </w:r>
          </w:p>
        </w:tc>
      </w:tr>
      <w:tr w:rsidR="00552B9C" w:rsidRPr="001C64B5" w14:paraId="571D402C" w14:textId="77777777" w:rsidTr="00CD0BF9">
        <w:trPr>
          <w:trHeight w:val="844"/>
        </w:trPr>
        <w:tc>
          <w:tcPr>
            <w:tcW w:w="4309" w:type="pct"/>
            <w:vAlign w:val="center"/>
          </w:tcPr>
          <w:p w14:paraId="58DE83A5" w14:textId="77777777" w:rsidR="00552B9C" w:rsidRPr="001C64B5" w:rsidRDefault="00552B9C" w:rsidP="00552B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2F5496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color w:val="2F5496"/>
                <w:sz w:val="20"/>
                <w:szCs w:val="20"/>
                <w:lang w:val="sr-Latn-ME"/>
              </w:rPr>
              <w:t>Protiv pravnog lica se ne vode postupci likvidacije ili stečaja, nije im izrečena mjera trajne ili privremene zabrane obavljanja poslovne djelatnosti</w:t>
            </w:r>
          </w:p>
        </w:tc>
        <w:tc>
          <w:tcPr>
            <w:tcW w:w="691" w:type="pct"/>
            <w:vAlign w:val="center"/>
          </w:tcPr>
          <w:p w14:paraId="6B6D31D2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color w:val="2F5496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2F5496"/>
                <w:sz w:val="20"/>
                <w:szCs w:val="20"/>
                <w:lang w:val="sr-Latn-ME"/>
              </w:rPr>
              <w:t>DA / NE</w:t>
            </w:r>
          </w:p>
        </w:tc>
      </w:tr>
    </w:tbl>
    <w:p w14:paraId="1833ADA1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9"/>
        <w:jc w:val="both"/>
        <w:rPr>
          <w:rFonts w:ascii="Poppins" w:hAnsi="Poppins" w:cs="Poppins"/>
          <w:color w:val="000000"/>
          <w:sz w:val="20"/>
          <w:szCs w:val="20"/>
          <w:lang w:val="sr-Latn-ME"/>
        </w:rPr>
      </w:pPr>
    </w:p>
    <w:p w14:paraId="1198C492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9"/>
        <w:jc w:val="both"/>
        <w:rPr>
          <w:rFonts w:ascii="Poppins" w:hAnsi="Poppins" w:cs="Poppins"/>
          <w:color w:val="000000"/>
          <w:sz w:val="20"/>
          <w:szCs w:val="20"/>
          <w:lang w:val="sr-Latn-M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FFFFFF"/>
          <w:bottom w:val="single" w:sz="4" w:space="0" w:color="000000"/>
          <w:right w:val="single" w:sz="4" w:space="0" w:color="FFFFFF"/>
          <w:insideH w:val="single" w:sz="4" w:space="0" w:color="4472C4"/>
          <w:insideV w:val="single" w:sz="4" w:space="0" w:color="4472C4"/>
        </w:tblBorders>
        <w:tblLook w:val="0660" w:firstRow="1" w:lastRow="1" w:firstColumn="0" w:lastColumn="0" w:noHBand="1" w:noVBand="1"/>
      </w:tblPr>
      <w:tblGrid>
        <w:gridCol w:w="1429"/>
        <w:gridCol w:w="7611"/>
        <w:gridCol w:w="1496"/>
      </w:tblGrid>
      <w:tr w:rsidR="00552B9C" w:rsidRPr="001C64B5" w14:paraId="55D9E6A8" w14:textId="77777777" w:rsidTr="00CD0BF9">
        <w:trPr>
          <w:trHeight w:val="315"/>
          <w:jc w:val="center"/>
        </w:trPr>
        <w:tc>
          <w:tcPr>
            <w:tcW w:w="678" w:type="pct"/>
            <w:tcBorders>
              <w:bottom w:val="nil"/>
            </w:tcBorders>
            <w:shd w:val="clear" w:color="auto" w:fill="1F3864"/>
            <w:vAlign w:val="center"/>
          </w:tcPr>
          <w:p w14:paraId="2CB9C8AB" w14:textId="77777777" w:rsidR="00552B9C" w:rsidRPr="001C64B5" w:rsidRDefault="00552B9C" w:rsidP="00CD0BF9">
            <w:pPr>
              <w:spacing w:before="100" w:after="100" w:line="257" w:lineRule="auto"/>
              <w:jc w:val="center"/>
              <w:rPr>
                <w:rFonts w:ascii="Poppins" w:eastAsia="Calibri" w:hAnsi="Poppins" w:cs="Poppins"/>
                <w:sz w:val="20"/>
                <w:szCs w:val="20"/>
                <w:highlight w:val="yellow"/>
                <w:lang w:val="sr-Latn-ME"/>
              </w:rPr>
            </w:pPr>
            <w:r w:rsidRPr="001C64B5"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  <w:t>Prioritet kriterijuma</w:t>
            </w:r>
          </w:p>
        </w:tc>
        <w:tc>
          <w:tcPr>
            <w:tcW w:w="3612" w:type="pct"/>
            <w:tcBorders>
              <w:bottom w:val="nil"/>
            </w:tcBorders>
            <w:shd w:val="clear" w:color="auto" w:fill="1F3864"/>
            <w:vAlign w:val="center"/>
          </w:tcPr>
          <w:p w14:paraId="6E54015D" w14:textId="77777777" w:rsidR="00552B9C" w:rsidRPr="001C64B5" w:rsidRDefault="00552B9C" w:rsidP="00CD0BF9">
            <w:pPr>
              <w:spacing w:before="100" w:after="100" w:line="257" w:lineRule="auto"/>
              <w:jc w:val="center"/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  <w:t>Kriterijumi selekcije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1F3864"/>
            <w:vAlign w:val="center"/>
          </w:tcPr>
          <w:p w14:paraId="27C5444C" w14:textId="77777777" w:rsidR="00552B9C" w:rsidRPr="001C64B5" w:rsidRDefault="00552B9C" w:rsidP="00CD0BF9">
            <w:pPr>
              <w:spacing w:before="100" w:after="100" w:line="257" w:lineRule="auto"/>
              <w:jc w:val="center"/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  <w:t>Broj  poena</w:t>
            </w:r>
          </w:p>
        </w:tc>
      </w:tr>
      <w:tr w:rsidR="00552B9C" w:rsidRPr="001C64B5" w14:paraId="5CCE8D73" w14:textId="77777777" w:rsidTr="00CD0BF9">
        <w:trPr>
          <w:trHeight w:val="300"/>
          <w:jc w:val="center"/>
        </w:trPr>
        <w:tc>
          <w:tcPr>
            <w:tcW w:w="678" w:type="pct"/>
            <w:shd w:val="clear" w:color="auto" w:fill="5B9BD5"/>
            <w:vAlign w:val="center"/>
          </w:tcPr>
          <w:p w14:paraId="2372AD13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3612" w:type="pct"/>
            <w:shd w:val="clear" w:color="auto" w:fill="5B9BD5"/>
            <w:vAlign w:val="center"/>
          </w:tcPr>
          <w:p w14:paraId="016676EA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PROIZVOD/USLUGA</w:t>
            </w:r>
          </w:p>
        </w:tc>
        <w:tc>
          <w:tcPr>
            <w:tcW w:w="710" w:type="pct"/>
            <w:shd w:val="clear" w:color="auto" w:fill="5B9BD5"/>
            <w:vAlign w:val="center"/>
          </w:tcPr>
          <w:p w14:paraId="52ECADA6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25</w:t>
            </w:r>
          </w:p>
        </w:tc>
      </w:tr>
      <w:tr w:rsidR="00552B9C" w:rsidRPr="001C64B5" w14:paraId="723011B3" w14:textId="77777777" w:rsidTr="00CD0BF9">
        <w:trPr>
          <w:trHeight w:val="300"/>
          <w:jc w:val="center"/>
        </w:trPr>
        <w:tc>
          <w:tcPr>
            <w:tcW w:w="678" w:type="pct"/>
            <w:vAlign w:val="center"/>
          </w:tcPr>
          <w:p w14:paraId="7B155967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1.1.</w:t>
            </w:r>
          </w:p>
        </w:tc>
        <w:tc>
          <w:tcPr>
            <w:tcW w:w="3612" w:type="pct"/>
            <w:vAlign w:val="center"/>
          </w:tcPr>
          <w:p w14:paraId="7D13C272" w14:textId="77777777" w:rsidR="00552B9C" w:rsidRPr="001C64B5" w:rsidRDefault="00552B9C" w:rsidP="00CD0BF9">
            <w:pPr>
              <w:spacing w:before="40" w:after="40" w:line="257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Dostignuta faza razvoja (Zaštita intelektualne svojine i sl.)</w:t>
            </w:r>
          </w:p>
        </w:tc>
        <w:tc>
          <w:tcPr>
            <w:tcW w:w="710" w:type="pct"/>
            <w:vAlign w:val="center"/>
          </w:tcPr>
          <w:p w14:paraId="7A177D55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 xml:space="preserve">1 – 10 </w:t>
            </w:r>
          </w:p>
        </w:tc>
      </w:tr>
      <w:tr w:rsidR="00552B9C" w:rsidRPr="001C64B5" w14:paraId="64C3BE91" w14:textId="77777777" w:rsidTr="00CD0BF9">
        <w:trPr>
          <w:trHeight w:val="300"/>
          <w:jc w:val="center"/>
        </w:trPr>
        <w:tc>
          <w:tcPr>
            <w:tcW w:w="678" w:type="pct"/>
            <w:vAlign w:val="center"/>
          </w:tcPr>
          <w:p w14:paraId="3923E88E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1.2.</w:t>
            </w:r>
          </w:p>
        </w:tc>
        <w:tc>
          <w:tcPr>
            <w:tcW w:w="3612" w:type="pct"/>
            <w:vAlign w:val="center"/>
          </w:tcPr>
          <w:p w14:paraId="319D520C" w14:textId="77777777" w:rsidR="00552B9C" w:rsidRPr="001C64B5" w:rsidRDefault="00552B9C" w:rsidP="00CD0BF9">
            <w:pPr>
              <w:spacing w:before="40" w:after="40" w:line="257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Inovativnost</w:t>
            </w:r>
          </w:p>
        </w:tc>
        <w:tc>
          <w:tcPr>
            <w:tcW w:w="710" w:type="pct"/>
            <w:vAlign w:val="center"/>
          </w:tcPr>
          <w:p w14:paraId="7B61749E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 xml:space="preserve">1 – 15 </w:t>
            </w:r>
          </w:p>
        </w:tc>
      </w:tr>
      <w:tr w:rsidR="00552B9C" w:rsidRPr="001C64B5" w14:paraId="0D7E03FB" w14:textId="77777777" w:rsidTr="00CD0BF9">
        <w:trPr>
          <w:trHeight w:val="300"/>
          <w:jc w:val="center"/>
        </w:trPr>
        <w:tc>
          <w:tcPr>
            <w:tcW w:w="678" w:type="pct"/>
            <w:shd w:val="clear" w:color="auto" w:fill="5B9BD5"/>
            <w:vAlign w:val="center"/>
          </w:tcPr>
          <w:p w14:paraId="4472B38A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3612" w:type="pct"/>
            <w:shd w:val="clear" w:color="auto" w:fill="5B9BD5"/>
            <w:vAlign w:val="center"/>
          </w:tcPr>
          <w:p w14:paraId="7F5EA06D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TRŽIŠTE</w:t>
            </w:r>
          </w:p>
        </w:tc>
        <w:tc>
          <w:tcPr>
            <w:tcW w:w="710" w:type="pct"/>
            <w:shd w:val="clear" w:color="auto" w:fill="5B9BD5"/>
            <w:vAlign w:val="center"/>
          </w:tcPr>
          <w:p w14:paraId="6C3D79FE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20</w:t>
            </w:r>
          </w:p>
        </w:tc>
      </w:tr>
      <w:tr w:rsidR="00552B9C" w:rsidRPr="001C64B5" w14:paraId="33665A20" w14:textId="77777777" w:rsidTr="00CD0BF9">
        <w:trPr>
          <w:trHeight w:val="510"/>
          <w:jc w:val="center"/>
        </w:trPr>
        <w:tc>
          <w:tcPr>
            <w:tcW w:w="678" w:type="pct"/>
            <w:vAlign w:val="center"/>
          </w:tcPr>
          <w:p w14:paraId="366B6DA8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2.1.</w:t>
            </w:r>
          </w:p>
        </w:tc>
        <w:tc>
          <w:tcPr>
            <w:tcW w:w="3612" w:type="pct"/>
            <w:vAlign w:val="center"/>
          </w:tcPr>
          <w:p w14:paraId="525A85B8" w14:textId="77777777" w:rsidR="00552B9C" w:rsidRPr="001C64B5" w:rsidRDefault="00552B9C" w:rsidP="00CD0BF9">
            <w:pPr>
              <w:spacing w:before="40" w:after="40" w:line="257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Identifikacija ciljne grupe (segmenata) potrošača</w:t>
            </w:r>
          </w:p>
        </w:tc>
        <w:tc>
          <w:tcPr>
            <w:tcW w:w="710" w:type="pct"/>
            <w:vAlign w:val="center"/>
          </w:tcPr>
          <w:p w14:paraId="75C8CCD1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 xml:space="preserve">1 – 5 </w:t>
            </w:r>
          </w:p>
        </w:tc>
      </w:tr>
      <w:tr w:rsidR="00552B9C" w:rsidRPr="001C64B5" w14:paraId="50289EDC" w14:textId="77777777" w:rsidTr="00CD0BF9">
        <w:trPr>
          <w:trHeight w:val="510"/>
          <w:jc w:val="center"/>
        </w:trPr>
        <w:tc>
          <w:tcPr>
            <w:tcW w:w="678" w:type="pct"/>
            <w:vAlign w:val="center"/>
          </w:tcPr>
          <w:p w14:paraId="789C3C30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 xml:space="preserve"> 2.2.</w:t>
            </w:r>
          </w:p>
        </w:tc>
        <w:tc>
          <w:tcPr>
            <w:tcW w:w="3612" w:type="pct"/>
            <w:vAlign w:val="center"/>
          </w:tcPr>
          <w:p w14:paraId="1CBDF0FB" w14:textId="77777777" w:rsidR="00552B9C" w:rsidRPr="001C64B5" w:rsidRDefault="00552B9C" w:rsidP="00CD0BF9">
            <w:pPr>
              <w:spacing w:before="40" w:after="40" w:line="257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Identifikacija tržišta za plasman proizvoda i usluga</w:t>
            </w:r>
          </w:p>
        </w:tc>
        <w:tc>
          <w:tcPr>
            <w:tcW w:w="710" w:type="pct"/>
            <w:vAlign w:val="center"/>
          </w:tcPr>
          <w:p w14:paraId="3DD28442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 xml:space="preserve">1 – 5 </w:t>
            </w:r>
          </w:p>
        </w:tc>
      </w:tr>
      <w:tr w:rsidR="00552B9C" w:rsidRPr="001C64B5" w14:paraId="1EC3B8F9" w14:textId="77777777" w:rsidTr="00CD0BF9">
        <w:trPr>
          <w:trHeight w:val="300"/>
          <w:jc w:val="center"/>
        </w:trPr>
        <w:tc>
          <w:tcPr>
            <w:tcW w:w="678" w:type="pct"/>
            <w:vAlign w:val="center"/>
          </w:tcPr>
          <w:p w14:paraId="41633151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2.3.</w:t>
            </w:r>
          </w:p>
        </w:tc>
        <w:tc>
          <w:tcPr>
            <w:tcW w:w="3612" w:type="pct"/>
            <w:vAlign w:val="center"/>
          </w:tcPr>
          <w:p w14:paraId="1567D0A3" w14:textId="77777777" w:rsidR="00552B9C" w:rsidRPr="001C64B5" w:rsidRDefault="00552B9C" w:rsidP="00CD0BF9">
            <w:pPr>
              <w:spacing w:before="40" w:after="40" w:line="257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Potencijal rasta na međunarodnom tržištu</w:t>
            </w:r>
          </w:p>
        </w:tc>
        <w:tc>
          <w:tcPr>
            <w:tcW w:w="710" w:type="pct"/>
            <w:vAlign w:val="center"/>
          </w:tcPr>
          <w:p w14:paraId="4ABBB962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 xml:space="preserve">1 – 10 </w:t>
            </w:r>
          </w:p>
        </w:tc>
      </w:tr>
      <w:tr w:rsidR="00552B9C" w:rsidRPr="001C64B5" w14:paraId="3A84D604" w14:textId="77777777" w:rsidTr="00CD0BF9">
        <w:trPr>
          <w:trHeight w:val="300"/>
          <w:jc w:val="center"/>
        </w:trPr>
        <w:tc>
          <w:tcPr>
            <w:tcW w:w="678" w:type="pct"/>
            <w:shd w:val="clear" w:color="auto" w:fill="5B9BD5"/>
            <w:vAlign w:val="center"/>
          </w:tcPr>
          <w:p w14:paraId="559BF02A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3612" w:type="pct"/>
            <w:shd w:val="clear" w:color="auto" w:fill="5B9BD5"/>
            <w:vAlign w:val="center"/>
          </w:tcPr>
          <w:p w14:paraId="5A594E94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LJUDSKI RESURSI</w:t>
            </w:r>
          </w:p>
        </w:tc>
        <w:tc>
          <w:tcPr>
            <w:tcW w:w="710" w:type="pct"/>
            <w:shd w:val="clear" w:color="auto" w:fill="5B9BD5"/>
            <w:vAlign w:val="center"/>
          </w:tcPr>
          <w:p w14:paraId="2F285D02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20</w:t>
            </w:r>
          </w:p>
        </w:tc>
      </w:tr>
      <w:tr w:rsidR="00552B9C" w:rsidRPr="001C64B5" w14:paraId="61A05A3F" w14:textId="77777777" w:rsidTr="00CD0BF9">
        <w:trPr>
          <w:trHeight w:val="300"/>
          <w:jc w:val="center"/>
        </w:trPr>
        <w:tc>
          <w:tcPr>
            <w:tcW w:w="678" w:type="pct"/>
            <w:vAlign w:val="center"/>
          </w:tcPr>
          <w:p w14:paraId="15132B73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3.1.</w:t>
            </w:r>
          </w:p>
        </w:tc>
        <w:tc>
          <w:tcPr>
            <w:tcW w:w="3612" w:type="pct"/>
            <w:vAlign w:val="center"/>
          </w:tcPr>
          <w:p w14:paraId="1B76A602" w14:textId="77777777" w:rsidR="00552B9C" w:rsidRPr="001C64B5" w:rsidRDefault="00552B9C" w:rsidP="00CD0BF9">
            <w:pPr>
              <w:spacing w:before="40" w:after="40" w:line="257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Potencijal razvojnog tima</w:t>
            </w:r>
          </w:p>
        </w:tc>
        <w:tc>
          <w:tcPr>
            <w:tcW w:w="710" w:type="pct"/>
            <w:vAlign w:val="center"/>
          </w:tcPr>
          <w:p w14:paraId="31CB5C4A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1 – 10</w:t>
            </w:r>
          </w:p>
        </w:tc>
      </w:tr>
      <w:tr w:rsidR="00552B9C" w:rsidRPr="001C64B5" w14:paraId="4A72ADA1" w14:textId="77777777" w:rsidTr="00CD0BF9">
        <w:trPr>
          <w:trHeight w:val="300"/>
          <w:jc w:val="center"/>
        </w:trPr>
        <w:tc>
          <w:tcPr>
            <w:tcW w:w="678" w:type="pct"/>
            <w:vAlign w:val="center"/>
          </w:tcPr>
          <w:p w14:paraId="5FB31B25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lastRenderedPageBreak/>
              <w:t>3.2.</w:t>
            </w:r>
          </w:p>
        </w:tc>
        <w:tc>
          <w:tcPr>
            <w:tcW w:w="3612" w:type="pct"/>
            <w:vAlign w:val="center"/>
          </w:tcPr>
          <w:p w14:paraId="752548BC" w14:textId="77777777" w:rsidR="00552B9C" w:rsidRPr="001C64B5" w:rsidRDefault="00552B9C" w:rsidP="00CD0BF9">
            <w:pPr>
              <w:spacing w:before="40" w:after="40" w:line="257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Planirano novo zapošljavanje</w:t>
            </w:r>
          </w:p>
        </w:tc>
        <w:tc>
          <w:tcPr>
            <w:tcW w:w="710" w:type="pct"/>
            <w:vAlign w:val="center"/>
          </w:tcPr>
          <w:p w14:paraId="32643C86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 xml:space="preserve">1 – 5 </w:t>
            </w:r>
          </w:p>
        </w:tc>
      </w:tr>
      <w:tr w:rsidR="00552B9C" w:rsidRPr="001C64B5" w14:paraId="281964D0" w14:textId="77777777" w:rsidTr="00CD0BF9">
        <w:trPr>
          <w:trHeight w:val="765"/>
          <w:jc w:val="center"/>
        </w:trPr>
        <w:tc>
          <w:tcPr>
            <w:tcW w:w="678" w:type="pct"/>
            <w:vAlign w:val="center"/>
          </w:tcPr>
          <w:p w14:paraId="2C7BE83C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 xml:space="preserve"> 3.3.</w:t>
            </w:r>
          </w:p>
        </w:tc>
        <w:tc>
          <w:tcPr>
            <w:tcW w:w="3612" w:type="pct"/>
            <w:vAlign w:val="center"/>
          </w:tcPr>
          <w:p w14:paraId="28890B1B" w14:textId="77777777" w:rsidR="00552B9C" w:rsidRPr="001C64B5" w:rsidRDefault="00552B9C" w:rsidP="00CD0BF9">
            <w:pPr>
              <w:spacing w:before="40" w:after="40" w:line="257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Učešće u programima podrške razvoja startapova u zemlji i inostranstvu (nagrade, programi, treninzi, edukacije, takmičenja i sl.)</w:t>
            </w:r>
          </w:p>
        </w:tc>
        <w:tc>
          <w:tcPr>
            <w:tcW w:w="710" w:type="pct"/>
            <w:vAlign w:val="center"/>
          </w:tcPr>
          <w:p w14:paraId="2C7BE553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 xml:space="preserve">1 – 5 </w:t>
            </w:r>
          </w:p>
        </w:tc>
      </w:tr>
      <w:tr w:rsidR="00552B9C" w:rsidRPr="001C64B5" w14:paraId="2267C4B7" w14:textId="77777777" w:rsidTr="00CD0BF9">
        <w:trPr>
          <w:trHeight w:val="300"/>
          <w:jc w:val="center"/>
        </w:trPr>
        <w:tc>
          <w:tcPr>
            <w:tcW w:w="678" w:type="pct"/>
            <w:shd w:val="clear" w:color="auto" w:fill="5B9BD5"/>
            <w:vAlign w:val="center"/>
          </w:tcPr>
          <w:p w14:paraId="713D5A39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3612" w:type="pct"/>
            <w:shd w:val="clear" w:color="auto" w:fill="5B9BD5"/>
            <w:vAlign w:val="center"/>
          </w:tcPr>
          <w:p w14:paraId="59BB34AA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FINANSIJE</w:t>
            </w:r>
          </w:p>
        </w:tc>
        <w:tc>
          <w:tcPr>
            <w:tcW w:w="710" w:type="pct"/>
            <w:shd w:val="clear" w:color="auto" w:fill="5B9BD5"/>
            <w:vAlign w:val="center"/>
          </w:tcPr>
          <w:p w14:paraId="7DE0569D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20</w:t>
            </w:r>
          </w:p>
        </w:tc>
      </w:tr>
      <w:tr w:rsidR="00552B9C" w:rsidRPr="001C64B5" w14:paraId="472213EB" w14:textId="77777777" w:rsidTr="00CD0BF9">
        <w:trPr>
          <w:trHeight w:val="510"/>
          <w:jc w:val="center"/>
        </w:trPr>
        <w:tc>
          <w:tcPr>
            <w:tcW w:w="678" w:type="pct"/>
            <w:vAlign w:val="center"/>
          </w:tcPr>
          <w:p w14:paraId="01F267BE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4.1.</w:t>
            </w:r>
          </w:p>
        </w:tc>
        <w:tc>
          <w:tcPr>
            <w:tcW w:w="3612" w:type="pct"/>
            <w:vAlign w:val="center"/>
          </w:tcPr>
          <w:p w14:paraId="4B828D89" w14:textId="77777777" w:rsidR="00552B9C" w:rsidRPr="001C64B5" w:rsidRDefault="00552B9C" w:rsidP="00CD0BF9">
            <w:pPr>
              <w:spacing w:before="40" w:after="40" w:line="257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Finansijski izvještaji i/ili projekcije finansijskog poslovanja</w:t>
            </w:r>
          </w:p>
        </w:tc>
        <w:tc>
          <w:tcPr>
            <w:tcW w:w="710" w:type="pct"/>
            <w:vAlign w:val="center"/>
          </w:tcPr>
          <w:p w14:paraId="6A7C8C5F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1 – 10</w:t>
            </w:r>
          </w:p>
        </w:tc>
      </w:tr>
      <w:tr w:rsidR="00552B9C" w:rsidRPr="001C64B5" w14:paraId="5D4650F2" w14:textId="77777777" w:rsidTr="00CD0BF9">
        <w:trPr>
          <w:trHeight w:val="300"/>
          <w:jc w:val="center"/>
        </w:trPr>
        <w:tc>
          <w:tcPr>
            <w:tcW w:w="678" w:type="pct"/>
            <w:vAlign w:val="center"/>
          </w:tcPr>
          <w:p w14:paraId="0162FE6F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4.2.</w:t>
            </w:r>
          </w:p>
        </w:tc>
        <w:tc>
          <w:tcPr>
            <w:tcW w:w="3612" w:type="pct"/>
            <w:vAlign w:val="center"/>
          </w:tcPr>
          <w:p w14:paraId="4DC7968E" w14:textId="77777777" w:rsidR="00552B9C" w:rsidRPr="001C64B5" w:rsidRDefault="00552B9C" w:rsidP="00CD0BF9">
            <w:pPr>
              <w:spacing w:before="40" w:after="40" w:line="257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Investicije i/ili grantovi</w:t>
            </w:r>
          </w:p>
        </w:tc>
        <w:tc>
          <w:tcPr>
            <w:tcW w:w="710" w:type="pct"/>
            <w:vAlign w:val="center"/>
          </w:tcPr>
          <w:p w14:paraId="7CE7A232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 xml:space="preserve">1 – 10 </w:t>
            </w:r>
          </w:p>
        </w:tc>
      </w:tr>
      <w:tr w:rsidR="00552B9C" w:rsidRPr="001C64B5" w14:paraId="0EE2BBA7" w14:textId="77777777" w:rsidTr="00CD0BF9">
        <w:trPr>
          <w:trHeight w:val="300"/>
          <w:jc w:val="center"/>
        </w:trPr>
        <w:tc>
          <w:tcPr>
            <w:tcW w:w="678" w:type="pct"/>
            <w:shd w:val="clear" w:color="auto" w:fill="5B9BD5"/>
            <w:vAlign w:val="center"/>
          </w:tcPr>
          <w:p w14:paraId="6D9C4C9F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3612" w:type="pct"/>
            <w:shd w:val="clear" w:color="auto" w:fill="5B9BD5"/>
            <w:vAlign w:val="center"/>
          </w:tcPr>
          <w:p w14:paraId="20346181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RIZICI POSLOVANJA</w:t>
            </w:r>
          </w:p>
        </w:tc>
        <w:tc>
          <w:tcPr>
            <w:tcW w:w="710" w:type="pct"/>
            <w:shd w:val="clear" w:color="auto" w:fill="5B9BD5"/>
            <w:vAlign w:val="center"/>
          </w:tcPr>
          <w:p w14:paraId="148D6184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552B9C" w:rsidRPr="001C64B5" w14:paraId="31654F5F" w14:textId="77777777" w:rsidTr="00CD0BF9">
        <w:trPr>
          <w:trHeight w:val="510"/>
          <w:jc w:val="center"/>
        </w:trPr>
        <w:tc>
          <w:tcPr>
            <w:tcW w:w="678" w:type="pct"/>
            <w:vAlign w:val="center"/>
          </w:tcPr>
          <w:p w14:paraId="2B45C013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b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5.1.</w:t>
            </w:r>
          </w:p>
        </w:tc>
        <w:tc>
          <w:tcPr>
            <w:tcW w:w="3612" w:type="pct"/>
            <w:vAlign w:val="center"/>
          </w:tcPr>
          <w:p w14:paraId="2DE65A8A" w14:textId="77777777" w:rsidR="00552B9C" w:rsidRPr="001C64B5" w:rsidRDefault="00552B9C" w:rsidP="00CD0BF9">
            <w:pPr>
              <w:spacing w:before="40" w:after="40" w:line="257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Rizici su identifikovani i definisane su mjere za prevazilaženje prepoznatih rizika</w:t>
            </w:r>
          </w:p>
        </w:tc>
        <w:tc>
          <w:tcPr>
            <w:tcW w:w="710" w:type="pct"/>
            <w:vAlign w:val="center"/>
          </w:tcPr>
          <w:p w14:paraId="792C3E77" w14:textId="77777777" w:rsidR="00552B9C" w:rsidRPr="001C64B5" w:rsidRDefault="00552B9C" w:rsidP="00CD0BF9">
            <w:pPr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 xml:space="preserve">1 – 5 </w:t>
            </w:r>
          </w:p>
        </w:tc>
      </w:tr>
      <w:tr w:rsidR="00552B9C" w:rsidRPr="001C64B5" w14:paraId="24AECB65" w14:textId="77777777" w:rsidTr="00CD0BF9">
        <w:trPr>
          <w:trHeight w:val="300"/>
          <w:jc w:val="center"/>
        </w:trPr>
        <w:tc>
          <w:tcPr>
            <w:tcW w:w="678" w:type="pct"/>
            <w:shd w:val="clear" w:color="auto" w:fill="5B9BD5"/>
            <w:vAlign w:val="center"/>
          </w:tcPr>
          <w:p w14:paraId="16A2B7F8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3612" w:type="pct"/>
            <w:shd w:val="clear" w:color="auto" w:fill="5B9BD5"/>
            <w:vAlign w:val="center"/>
          </w:tcPr>
          <w:p w14:paraId="7B78715E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RJEŠENJE O UPISU U REGISTAR INOVACIONE DJELATNOSTI (NE ili DA)</w:t>
            </w:r>
          </w:p>
        </w:tc>
        <w:tc>
          <w:tcPr>
            <w:tcW w:w="710" w:type="pct"/>
            <w:shd w:val="clear" w:color="auto" w:fill="5B9BD5"/>
            <w:vAlign w:val="center"/>
          </w:tcPr>
          <w:p w14:paraId="56A21FE7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0 ili 5</w:t>
            </w:r>
          </w:p>
        </w:tc>
      </w:tr>
      <w:tr w:rsidR="00552B9C" w:rsidRPr="001C64B5" w14:paraId="08D99900" w14:textId="77777777" w:rsidTr="00CD0BF9">
        <w:trPr>
          <w:trHeight w:val="300"/>
          <w:jc w:val="center"/>
        </w:trPr>
        <w:tc>
          <w:tcPr>
            <w:tcW w:w="678" w:type="pct"/>
            <w:shd w:val="clear" w:color="auto" w:fill="5B9BD5"/>
            <w:vAlign w:val="center"/>
          </w:tcPr>
          <w:p w14:paraId="60BD9970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3612" w:type="pct"/>
            <w:shd w:val="clear" w:color="auto" w:fill="5B9BD5"/>
            <w:vAlign w:val="center"/>
          </w:tcPr>
          <w:p w14:paraId="64B43CEB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UTICAJ NA DRUŠTVENU ZAJEDNICU</w:t>
            </w:r>
          </w:p>
        </w:tc>
        <w:tc>
          <w:tcPr>
            <w:tcW w:w="710" w:type="pct"/>
            <w:shd w:val="clear" w:color="auto" w:fill="5B9BD5"/>
            <w:vAlign w:val="center"/>
          </w:tcPr>
          <w:p w14:paraId="7191FE67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552B9C" w:rsidRPr="001C64B5" w14:paraId="40C5BC24" w14:textId="77777777" w:rsidTr="00CD0BF9">
        <w:trPr>
          <w:trHeight w:val="300"/>
          <w:jc w:val="center"/>
        </w:trPr>
        <w:tc>
          <w:tcPr>
            <w:tcW w:w="4290" w:type="pct"/>
            <w:gridSpan w:val="2"/>
            <w:shd w:val="clear" w:color="auto" w:fill="44546A"/>
            <w:vAlign w:val="center"/>
          </w:tcPr>
          <w:p w14:paraId="1ECF57EA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  <w:t>MAKSIMALAN BROJ POENA</w:t>
            </w:r>
          </w:p>
        </w:tc>
        <w:tc>
          <w:tcPr>
            <w:tcW w:w="710" w:type="pct"/>
            <w:shd w:val="clear" w:color="auto" w:fill="44546A"/>
            <w:vAlign w:val="center"/>
          </w:tcPr>
          <w:p w14:paraId="136C675B" w14:textId="77777777" w:rsidR="00552B9C" w:rsidRPr="001C64B5" w:rsidRDefault="00552B9C" w:rsidP="00CD0BF9">
            <w:pPr>
              <w:spacing w:before="60" w:after="60" w:line="257" w:lineRule="auto"/>
              <w:jc w:val="center"/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</w:pPr>
            <w:r w:rsidRPr="001C64B5"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  <w:t>100</w:t>
            </w:r>
          </w:p>
        </w:tc>
      </w:tr>
    </w:tbl>
    <w:p w14:paraId="7CCF7FC0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</w:p>
    <w:p w14:paraId="35C5ACE7" w14:textId="77777777" w:rsidR="00966E14" w:rsidRPr="001C64B5" w:rsidRDefault="00966E14" w:rsidP="00552B9C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</w:p>
    <w:p w14:paraId="3F64DE50" w14:textId="77777777" w:rsidR="00552B9C" w:rsidRPr="001C64B5" w:rsidRDefault="00552B9C" w:rsidP="00552B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before="120" w:after="120" w:line="276" w:lineRule="auto"/>
        <w:ind w:left="426" w:right="-99" w:hanging="426"/>
        <w:jc w:val="both"/>
        <w:rPr>
          <w:rFonts w:ascii="Poppins" w:hAnsi="Poppins" w:cs="Poppins"/>
          <w:b/>
          <w:color w:val="FFFFFF"/>
          <w:lang w:val="sr-Latn-ME"/>
        </w:rPr>
      </w:pPr>
      <w:r w:rsidRPr="001C64B5">
        <w:rPr>
          <w:rFonts w:ascii="Poppins" w:hAnsi="Poppins" w:cs="Poppins"/>
          <w:b/>
          <w:color w:val="FFFFFF"/>
          <w:lang w:val="sr-Latn-ME"/>
        </w:rPr>
        <w:t>OPŠTE INFORMACIJE</w:t>
      </w:r>
    </w:p>
    <w:p w14:paraId="1BB17CC1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</w:p>
    <w:p w14:paraId="030BBBDA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Javni poziv je dostupan na internet adresi </w:t>
      </w:r>
      <w:hyperlink r:id="rId12">
        <w:r w:rsidRPr="001C64B5">
          <w:rPr>
            <w:rFonts w:ascii="Poppins" w:hAnsi="Poppins" w:cs="Poppins"/>
            <w:color w:val="0563C1"/>
            <w:u w:val="single"/>
            <w:lang w:val="sr-Latn-ME"/>
          </w:rPr>
          <w:t>www.ntpark.me</w:t>
        </w:r>
      </w:hyperlink>
      <w:r w:rsidRPr="001C64B5">
        <w:rPr>
          <w:rFonts w:ascii="Poppins" w:hAnsi="Poppins" w:cs="Poppins"/>
          <w:color w:val="000000"/>
          <w:lang w:val="sr-Latn-ME"/>
        </w:rPr>
        <w:t xml:space="preserve"> i otvoren zaključno sa </w:t>
      </w:r>
      <w:r w:rsidRPr="001C64B5">
        <w:rPr>
          <w:rFonts w:ascii="Poppins" w:hAnsi="Poppins" w:cs="Poppins"/>
          <w:lang w:val="sr-Latn-ME"/>
        </w:rPr>
        <w:t>31.08</w:t>
      </w:r>
      <w:r w:rsidRPr="001C64B5">
        <w:rPr>
          <w:rFonts w:ascii="Poppins" w:hAnsi="Poppins" w:cs="Poppins"/>
          <w:color w:val="000000"/>
          <w:lang w:val="sr-Latn-ME"/>
        </w:rPr>
        <w:t xml:space="preserve">.2024. godine.  </w:t>
      </w:r>
    </w:p>
    <w:p w14:paraId="74325576" w14:textId="77777777" w:rsidR="00552B9C" w:rsidRPr="001C64B5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1C64B5">
        <w:rPr>
          <w:rFonts w:ascii="Poppins" w:hAnsi="Poppins" w:cs="Poppins"/>
          <w:color w:val="000000"/>
          <w:lang w:val="sr-Latn-ME"/>
        </w:rPr>
        <w:t xml:space="preserve">Informacije u vezi sa Javnim pozivom se mogu dobiti slanjem upita na adresu: </w:t>
      </w:r>
      <w:hyperlink r:id="rId13">
        <w:r w:rsidRPr="001C64B5">
          <w:rPr>
            <w:rFonts w:ascii="Poppins" w:hAnsi="Poppins" w:cs="Poppins"/>
            <w:color w:val="0563C1"/>
            <w:u w:val="single"/>
            <w:lang w:val="sr-Latn-ME"/>
          </w:rPr>
          <w:t>javnipoziv@ntpark.me</w:t>
        </w:r>
      </w:hyperlink>
      <w:r w:rsidRPr="001C64B5">
        <w:rPr>
          <w:rFonts w:ascii="Poppins" w:hAnsi="Poppins" w:cs="Poppins"/>
          <w:color w:val="000000"/>
          <w:lang w:val="sr-Latn-ME"/>
        </w:rPr>
        <w:t xml:space="preserve">, ili putem telefona + 382 20 270 777 svakog radnog dana od 10.00 do 15.00h. </w:t>
      </w:r>
    </w:p>
    <w:p w14:paraId="3878047D" w14:textId="77777777" w:rsidR="00966E14" w:rsidRPr="001C64B5" w:rsidRDefault="00966E14" w:rsidP="00CA1562">
      <w:pPr>
        <w:rPr>
          <w:rFonts w:ascii="Poppins" w:hAnsi="Poppins" w:cs="Poppins"/>
          <w:sz w:val="20"/>
          <w:szCs w:val="20"/>
          <w:lang w:val="sr-Latn-ME"/>
        </w:rPr>
      </w:pPr>
    </w:p>
    <w:sectPr w:rsidR="00966E14" w:rsidRPr="001C64B5" w:rsidSect="00CA1562">
      <w:headerReference w:type="default" r:id="rId14"/>
      <w:pgSz w:w="11906" w:h="16838" w:code="9"/>
      <w:pgMar w:top="2268" w:right="680" w:bottom="226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80480" w14:textId="77777777" w:rsidR="00A620CB" w:rsidRDefault="00A620CB" w:rsidP="00CA1562">
      <w:pPr>
        <w:spacing w:after="0" w:line="240" w:lineRule="auto"/>
      </w:pPr>
      <w:r>
        <w:separator/>
      </w:r>
    </w:p>
  </w:endnote>
  <w:endnote w:type="continuationSeparator" w:id="0">
    <w:p w14:paraId="38780481" w14:textId="77777777" w:rsidR="00A620CB" w:rsidRDefault="00A620CB" w:rsidP="00CA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047E" w14:textId="77777777" w:rsidR="00A620CB" w:rsidRDefault="00A620CB" w:rsidP="00CA1562">
      <w:pPr>
        <w:spacing w:after="0" w:line="240" w:lineRule="auto"/>
      </w:pPr>
      <w:r>
        <w:separator/>
      </w:r>
    </w:p>
  </w:footnote>
  <w:footnote w:type="continuationSeparator" w:id="0">
    <w:p w14:paraId="3878047F" w14:textId="77777777" w:rsidR="00A620CB" w:rsidRDefault="00A620CB" w:rsidP="00CA1562">
      <w:pPr>
        <w:spacing w:after="0" w:line="240" w:lineRule="auto"/>
      </w:pPr>
      <w:r>
        <w:continuationSeparator/>
      </w:r>
    </w:p>
  </w:footnote>
  <w:footnote w:id="1">
    <w:p w14:paraId="509AA0A0" w14:textId="4E6173A0" w:rsidR="00552B9C" w:rsidRPr="00552B9C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before="160" w:after="120" w:line="244" w:lineRule="auto"/>
        <w:jc w:val="both"/>
        <w:rPr>
          <w:i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0"/>
          <w:szCs w:val="20"/>
        </w:rPr>
        <w:t>U smislu ovog Javnog poziva primjenjiavaće se definicija iz člana 10 Zakona o inovacionoj djelatnosti.</w:t>
      </w:r>
    </w:p>
  </w:footnote>
  <w:footnote w:id="2">
    <w:p w14:paraId="57110D37" w14:textId="77777777" w:rsidR="00552B9C" w:rsidRPr="002B2FE7" w:rsidRDefault="00552B9C" w:rsidP="00552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it-IT"/>
        </w:rPr>
      </w:pPr>
      <w:r>
        <w:rPr>
          <w:rStyle w:val="FootnoteReference"/>
        </w:rPr>
        <w:footnoteRef/>
      </w:r>
      <w:r w:rsidRPr="002B2FE7">
        <w:rPr>
          <w:color w:val="000000"/>
          <w:sz w:val="20"/>
          <w:szCs w:val="20"/>
          <w:lang w:val="it-IT"/>
        </w:rPr>
        <w:t xml:space="preserve"> </w:t>
      </w:r>
      <w:r w:rsidRPr="002B2FE7">
        <w:rPr>
          <w:i/>
          <w:color w:val="000000"/>
          <w:sz w:val="20"/>
          <w:szCs w:val="20"/>
          <w:lang w:val="it-IT"/>
        </w:rPr>
        <w:t>Član 10 Zakona o inovacionoj djelatnosti („Sl. list CG”, br. 82/20).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0482" w14:textId="77777777" w:rsidR="00CA1562" w:rsidRDefault="00CA15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780483" wp14:editId="3878048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8433" cy="10706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P memorandum 06.11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57" cy="1072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080"/>
    <w:multiLevelType w:val="multilevel"/>
    <w:tmpl w:val="42065D14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0B0DBF"/>
    <w:multiLevelType w:val="multilevel"/>
    <w:tmpl w:val="2B2EF34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1D3B100C"/>
    <w:multiLevelType w:val="multilevel"/>
    <w:tmpl w:val="7F66D03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C933148"/>
    <w:multiLevelType w:val="multilevel"/>
    <w:tmpl w:val="985A1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CEB69AD"/>
    <w:multiLevelType w:val="multilevel"/>
    <w:tmpl w:val="DAF0C40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E7A"/>
    <w:multiLevelType w:val="multilevel"/>
    <w:tmpl w:val="AB5EB452"/>
    <w:lvl w:ilvl="0"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E24C1E"/>
    <w:multiLevelType w:val="multilevel"/>
    <w:tmpl w:val="A12CB0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845529"/>
    <w:multiLevelType w:val="multilevel"/>
    <w:tmpl w:val="9990D2F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798"/>
      </w:pPr>
    </w:lvl>
  </w:abstractNum>
  <w:abstractNum w:abstractNumId="8" w15:restartNumberingAfterBreak="0">
    <w:nsid w:val="541C7A13"/>
    <w:multiLevelType w:val="multilevel"/>
    <w:tmpl w:val="F39076D4"/>
    <w:lvl w:ilvl="0"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672B8F"/>
    <w:multiLevelType w:val="multilevel"/>
    <w:tmpl w:val="8AB854E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62103EEA"/>
    <w:multiLevelType w:val="multilevel"/>
    <w:tmpl w:val="C644CD2C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-.%2"/>
      <w:lvlJc w:val="left"/>
      <w:pPr>
        <w:ind w:left="360" w:hanging="360"/>
      </w:pPr>
      <w:rPr>
        <w:b/>
      </w:rPr>
    </w:lvl>
    <w:lvl w:ilvl="2">
      <w:start w:val="1"/>
      <w:numFmt w:val="decimal"/>
      <w:lvlText w:val="-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-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-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-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-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-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-.%2.%3.%4.%5.%6.%7.%8.%9"/>
      <w:lvlJc w:val="left"/>
      <w:pPr>
        <w:ind w:left="1800" w:hanging="1800"/>
      </w:pPr>
      <w:rPr>
        <w:b/>
      </w:rPr>
    </w:lvl>
  </w:abstractNum>
  <w:abstractNum w:abstractNumId="11" w15:restartNumberingAfterBreak="0">
    <w:nsid w:val="62C14040"/>
    <w:multiLevelType w:val="multilevel"/>
    <w:tmpl w:val="51DA82C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65BE78D7"/>
    <w:multiLevelType w:val="multilevel"/>
    <w:tmpl w:val="2A06951C"/>
    <w:lvl w:ilvl="0">
      <w:numFmt w:val="bullet"/>
      <w:lvlText w:val="•"/>
      <w:lvlJc w:val="left"/>
      <w:pPr>
        <w:ind w:left="135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5240AC"/>
    <w:multiLevelType w:val="multilevel"/>
    <w:tmpl w:val="7C24E338"/>
    <w:lvl w:ilvl="0">
      <w:start w:val="1"/>
      <w:numFmt w:val="bullet"/>
      <w:lvlText w:val="●"/>
      <w:lvlJc w:val="left"/>
      <w:pPr>
        <w:ind w:left="17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BE003F"/>
    <w:multiLevelType w:val="multilevel"/>
    <w:tmpl w:val="4196681E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8070351"/>
    <w:multiLevelType w:val="multilevel"/>
    <w:tmpl w:val="D10A1018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471552133">
    <w:abstractNumId w:val="9"/>
  </w:num>
  <w:num w:numId="2" w16cid:durableId="836965310">
    <w:abstractNumId w:val="6"/>
  </w:num>
  <w:num w:numId="3" w16cid:durableId="820849137">
    <w:abstractNumId w:val="0"/>
  </w:num>
  <w:num w:numId="4" w16cid:durableId="1445811637">
    <w:abstractNumId w:val="4"/>
  </w:num>
  <w:num w:numId="5" w16cid:durableId="268128782">
    <w:abstractNumId w:val="5"/>
  </w:num>
  <w:num w:numId="6" w16cid:durableId="419301387">
    <w:abstractNumId w:val="3"/>
  </w:num>
  <w:num w:numId="7" w16cid:durableId="274101805">
    <w:abstractNumId w:val="2"/>
  </w:num>
  <w:num w:numId="8" w16cid:durableId="1506937825">
    <w:abstractNumId w:val="8"/>
  </w:num>
  <w:num w:numId="9" w16cid:durableId="1453012947">
    <w:abstractNumId w:val="1"/>
  </w:num>
  <w:num w:numId="10" w16cid:durableId="665790080">
    <w:abstractNumId w:val="14"/>
  </w:num>
  <w:num w:numId="11" w16cid:durableId="190996072">
    <w:abstractNumId w:val="10"/>
  </w:num>
  <w:num w:numId="12" w16cid:durableId="765076099">
    <w:abstractNumId w:val="12"/>
  </w:num>
  <w:num w:numId="13" w16cid:durableId="1250431784">
    <w:abstractNumId w:val="15"/>
  </w:num>
  <w:num w:numId="14" w16cid:durableId="2064980779">
    <w:abstractNumId w:val="13"/>
  </w:num>
  <w:num w:numId="15" w16cid:durableId="385304050">
    <w:abstractNumId w:val="7"/>
  </w:num>
  <w:num w:numId="16" w16cid:durableId="160704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62"/>
    <w:rsid w:val="001C64B5"/>
    <w:rsid w:val="00552B9C"/>
    <w:rsid w:val="005D6A22"/>
    <w:rsid w:val="00657651"/>
    <w:rsid w:val="00687769"/>
    <w:rsid w:val="007D2270"/>
    <w:rsid w:val="00966E14"/>
    <w:rsid w:val="00A620CB"/>
    <w:rsid w:val="00BC3EB7"/>
    <w:rsid w:val="00CA1562"/>
    <w:rsid w:val="00D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78047D"/>
  <w15:chartTrackingRefBased/>
  <w15:docId w15:val="{F08B006B-B4F3-41DD-B87D-A774E9F5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562"/>
  </w:style>
  <w:style w:type="paragraph" w:styleId="Footer">
    <w:name w:val="footer"/>
    <w:basedOn w:val="Normal"/>
    <w:link w:val="FooterChar"/>
    <w:uiPriority w:val="99"/>
    <w:unhideWhenUsed/>
    <w:rsid w:val="00CA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562"/>
  </w:style>
  <w:style w:type="character" w:styleId="FootnoteReference">
    <w:name w:val="footnote reference"/>
    <w:basedOn w:val="DefaultParagraphFont"/>
    <w:uiPriority w:val="99"/>
    <w:semiHidden/>
    <w:unhideWhenUsed/>
    <w:rsid w:val="00552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ark.me" TargetMode="External"/><Relationship Id="rId13" Type="http://schemas.openxmlformats.org/officeDocument/2006/relationships/hyperlink" Target="mailto:javnipoziv@ntpark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tpark.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poziv@ntpark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tpark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park.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A955-7A7B-4940-9E2A-17612F9C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Radivoje Drobnjak</cp:lastModifiedBy>
  <cp:revision>7</cp:revision>
  <dcterms:created xsi:type="dcterms:W3CDTF">2024-07-08T07:30:00Z</dcterms:created>
  <dcterms:modified xsi:type="dcterms:W3CDTF">2024-07-08T07:45:00Z</dcterms:modified>
</cp:coreProperties>
</file>